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632696">
      <w:pPr>
        <w:jc w:val="center"/>
        <w:rPr>
          <w:rFonts w:ascii="方正大标宋简体" w:hAnsi="方正大标宋简体" w:eastAsia="方正大标宋简体"/>
          <w:sz w:val="44"/>
          <w:szCs w:val="44"/>
        </w:rPr>
      </w:pPr>
      <w:r>
        <w:rPr>
          <w:rFonts w:ascii="方正大标宋简体" w:hAnsi="方正大标宋简体" w:eastAsia="方正大标宋简体"/>
          <w:sz w:val="44"/>
          <w:szCs w:val="44"/>
        </w:rPr>
        <w:t>202</w:t>
      </w:r>
      <w:r>
        <w:rPr>
          <w:rFonts w:hint="eastAsia" w:ascii="方正大标宋简体" w:hAnsi="方正大标宋简体" w:eastAsia="方正大标宋简体"/>
          <w:sz w:val="44"/>
          <w:szCs w:val="44"/>
          <w:lang w:val="en-US" w:eastAsia="zh-CN"/>
        </w:rPr>
        <w:t>6</w:t>
      </w:r>
      <w:r>
        <w:rPr>
          <w:rFonts w:hint="eastAsia" w:ascii="方正大标宋简体" w:hAnsi="方正大标宋简体" w:eastAsia="方正大标宋简体"/>
          <w:sz w:val="44"/>
          <w:szCs w:val="44"/>
        </w:rPr>
        <w:t>年</w:t>
      </w:r>
      <w:r>
        <w:rPr>
          <w:rFonts w:hint="eastAsia" w:ascii="方正大标宋简体" w:hAnsi="方正大标宋简体" w:eastAsia="方正大标宋简体"/>
          <w:sz w:val="44"/>
          <w:szCs w:val="44"/>
          <w:lang w:val="en-US" w:eastAsia="zh-CN"/>
        </w:rPr>
        <w:t>网球</w:t>
      </w:r>
      <w:r>
        <w:rPr>
          <w:rFonts w:ascii="方正大标宋简体" w:hAnsi="方正大标宋简体" w:eastAsia="方正大标宋简体"/>
          <w:sz w:val="44"/>
          <w:szCs w:val="44"/>
        </w:rPr>
        <w:t>项目体育特定类型招生简章</w:t>
      </w:r>
    </w:p>
    <w:p w14:paraId="297B3E43">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w:t>
      </w:r>
      <w:r>
        <w:rPr>
          <w:rFonts w:hint="eastAsia" w:ascii="方正楷体_GBK" w:hAnsi="方正楷体_GBK" w:eastAsia="方正楷体_GBK" w:cs="方正楷体_GBK"/>
          <w:sz w:val="32"/>
          <w:szCs w:val="32"/>
          <w:lang w:val="en-US" w:eastAsia="zh-CN"/>
        </w:rPr>
        <w:t>南京市中华中学附属初级中学</w:t>
      </w:r>
      <w:r>
        <w:rPr>
          <w:rFonts w:hint="eastAsia" w:ascii="方正楷体_GBK" w:hAnsi="方正楷体_GBK" w:eastAsia="方正楷体_GBK" w:cs="方正楷体_GBK"/>
          <w:sz w:val="32"/>
          <w:szCs w:val="32"/>
        </w:rPr>
        <w:t xml:space="preserve">  </w:t>
      </w:r>
      <w:r>
        <w:rPr>
          <w:rFonts w:hint="eastAsia" w:ascii="方正楷体_GBK" w:hAnsi="方正楷体_GBK" w:eastAsia="方正楷体_GBK" w:cs="方正楷体_GBK"/>
          <w:sz w:val="32"/>
          <w:szCs w:val="32"/>
          <w:lang w:val="en-US" w:eastAsia="zh-CN"/>
        </w:rPr>
        <w:t>网球</w:t>
      </w:r>
      <w:r>
        <w:rPr>
          <w:rFonts w:hint="eastAsia" w:ascii="方正楷体_GBK" w:hAnsi="方正楷体_GBK" w:eastAsia="方正楷体_GBK" w:cs="方正楷体_GBK"/>
          <w:sz w:val="32"/>
          <w:szCs w:val="32"/>
        </w:rPr>
        <w:t>项目）</w:t>
      </w:r>
    </w:p>
    <w:p w14:paraId="33AD4E7B">
      <w:pPr>
        <w:spacing w:line="560" w:lineRule="exact"/>
        <w:ind w:firstLine="640" w:firstLineChars="200"/>
        <w:rPr>
          <w:rFonts w:hint="eastAsia" w:ascii="仿宋" w:hAnsi="仿宋" w:eastAsia="仿宋" w:cs="仿宋"/>
          <w:sz w:val="32"/>
          <w:szCs w:val="32"/>
        </w:rPr>
      </w:pPr>
    </w:p>
    <w:p w14:paraId="0C3D215A">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为巩固和提升我市“市队校办、市队联办”体教融合人才培养质效，为国家和省、市发现培养更多优秀竞技体育人才，按照省、市关于初中体育特定类型招生工作相关政策，特制定本招生简章。</w:t>
      </w:r>
    </w:p>
    <w:p w14:paraId="0C2EEAA0">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一、招生项目和人数</w:t>
      </w:r>
    </w:p>
    <w:p w14:paraId="7C7AE0C5">
      <w:pPr>
        <w:spacing w:line="560" w:lineRule="exact"/>
        <w:ind w:firstLine="640"/>
        <w:rPr>
          <w:rFonts w:ascii="仿宋" w:hAnsi="仿宋" w:eastAsia="仿宋" w:cs="仿宋"/>
          <w:sz w:val="32"/>
          <w:szCs w:val="32"/>
        </w:rPr>
      </w:pPr>
      <w:r>
        <w:rPr>
          <w:rFonts w:hint="eastAsia" w:ascii="仿宋" w:hAnsi="仿宋" w:eastAsia="仿宋" w:cs="仿宋"/>
          <w:sz w:val="32"/>
          <w:szCs w:val="32"/>
          <w:lang w:val="en-US" w:eastAsia="zh-CN"/>
        </w:rPr>
        <w:t>网球</w:t>
      </w:r>
      <w:r>
        <w:rPr>
          <w:rFonts w:hint="eastAsia" w:ascii="仿宋" w:hAnsi="仿宋" w:eastAsia="仿宋" w:cs="仿宋"/>
          <w:sz w:val="32"/>
          <w:szCs w:val="32"/>
        </w:rPr>
        <w:t>项目</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6</w:t>
      </w:r>
      <w:r>
        <w:rPr>
          <w:rFonts w:hint="eastAsia" w:ascii="仿宋" w:hAnsi="仿宋" w:eastAsia="仿宋" w:cs="仿宋"/>
          <w:sz w:val="32"/>
          <w:szCs w:val="32"/>
        </w:rPr>
        <w:t>人。</w:t>
      </w:r>
    </w:p>
    <w:p w14:paraId="2ACCFC24">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二、</w:t>
      </w:r>
      <w:r>
        <w:rPr>
          <w:rFonts w:hint="eastAsia" w:ascii="黑体" w:hAnsi="黑体" w:eastAsia="黑体" w:cs="黑体"/>
          <w:sz w:val="32"/>
          <w:szCs w:val="32"/>
          <w:lang w:val="en-US" w:eastAsia="zh-CN"/>
        </w:rPr>
        <w:t>报名</w:t>
      </w:r>
      <w:r>
        <w:rPr>
          <w:rFonts w:hint="eastAsia" w:ascii="黑体" w:hAnsi="黑体" w:eastAsia="黑体" w:cs="黑体"/>
          <w:sz w:val="32"/>
          <w:szCs w:val="32"/>
        </w:rPr>
        <w:t>条件</w:t>
      </w:r>
    </w:p>
    <w:p w14:paraId="2CC2B820">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符合当年南京市义务教育招生入学政策的小学毕业生且符合下列条件的，可选择一所学校一个项目报名。</w:t>
      </w:r>
    </w:p>
    <w:p w14:paraId="49BBE588">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（一）运动员注册：代表南京市在“江苏体育统一身份认证平台”完成运动员注册。因客观原因尚未完成注册的，须在报名材料现场审核时，与项目联办体校签订注册协议。</w:t>
      </w:r>
    </w:p>
    <w:p w14:paraId="726A17FE">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（二）综合评价：小学阶段品德优秀，四、五、六年级（不含六年级下学期）《我的成长脚印》综合评价优良。</w:t>
      </w:r>
    </w:p>
    <w:p w14:paraId="67897692">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（三）专业成绩：小学阶段获得</w:t>
      </w:r>
      <w:r>
        <w:rPr>
          <w:rFonts w:hint="eastAsia" w:ascii="仿宋" w:hAnsi="仿宋" w:eastAsia="仿宋" w:cs="仿宋"/>
          <w:sz w:val="32"/>
          <w:szCs w:val="32"/>
          <w:lang w:val="en-US" w:eastAsia="zh-CN"/>
        </w:rPr>
        <w:t>报考项目国家二级运动员证书或获得</w:t>
      </w:r>
      <w:r>
        <w:rPr>
          <w:rFonts w:hint="eastAsia" w:ascii="仿宋" w:hAnsi="仿宋" w:eastAsia="仿宋" w:cs="仿宋"/>
          <w:sz w:val="32"/>
          <w:szCs w:val="32"/>
        </w:rPr>
        <w:t>报考项目南京市教育、体育行政部门主办的体育竞赛前三名或江苏省及以上教育、体育行政部门主办的体育竞赛前八名。以上专业成绩均以竞赛成绩册或证书为准。</w:t>
      </w:r>
    </w:p>
    <w:p w14:paraId="2FA0625D">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三、招生流程</w:t>
      </w:r>
    </w:p>
    <w:p w14:paraId="76879562">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（一）请报名学生于6月</w:t>
      </w:r>
      <w:r>
        <w:rPr>
          <w:rFonts w:hint="eastAsia" w:ascii="仿宋" w:hAnsi="仿宋" w:eastAsia="仿宋" w:cs="仿宋"/>
          <w:sz w:val="32"/>
          <w:szCs w:val="32"/>
          <w:lang w:val="en-US" w:eastAsia="zh-CN"/>
        </w:rPr>
        <w:t>2</w:t>
      </w:r>
      <w:r>
        <w:rPr>
          <w:rFonts w:hint="eastAsia" w:ascii="仿宋" w:hAnsi="仿宋" w:eastAsia="仿宋" w:cs="仿宋"/>
          <w:sz w:val="32"/>
          <w:szCs w:val="32"/>
        </w:rPr>
        <w:t>日</w:t>
      </w:r>
      <w:r>
        <w:rPr>
          <w:rFonts w:hint="eastAsia" w:ascii="仿宋" w:hAnsi="仿宋" w:eastAsia="仿宋" w:cs="仿宋"/>
          <w:sz w:val="32"/>
          <w:szCs w:val="32"/>
          <w:lang w:val="en-US" w:eastAsia="zh-CN"/>
        </w:rPr>
        <w:t>～3日</w:t>
      </w:r>
      <w:r>
        <w:rPr>
          <w:rFonts w:hint="eastAsia" w:ascii="仿宋" w:hAnsi="仿宋" w:eastAsia="仿宋" w:cs="仿宋"/>
          <w:sz w:val="32"/>
          <w:szCs w:val="32"/>
        </w:rPr>
        <w:t>在“南京市初中体育艺术特定类型招生报名平台”</w:t>
      </w:r>
      <w:r>
        <w:rPr>
          <w:rFonts w:hint="eastAsia" w:ascii="仿宋" w:hAnsi="仿宋" w:eastAsia="仿宋" w:cs="仿宋"/>
          <w:sz w:val="32"/>
          <w:szCs w:val="32"/>
          <w:lang w:val="en-US" w:eastAsia="zh-CN"/>
        </w:rPr>
        <w:t>完成线上报名（平台二维码附后），同时，</w:t>
      </w:r>
      <w:r>
        <w:rPr>
          <w:rFonts w:ascii="Times New Roman" w:hAnsi="Times New Roman" w:eastAsia="仿宋_GB2312" w:cs="Times New Roman"/>
          <w:color w:val="000000" w:themeColor="text1"/>
          <w:kern w:val="0"/>
          <w:sz w:val="32"/>
          <w:szCs w:val="32"/>
          <w14:textFill>
            <w14:solidFill>
              <w14:schemeClr w14:val="tx1"/>
            </w14:solidFill>
          </w14:textFill>
        </w:rPr>
        <w:t>需同步在</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w:t>
      </w:r>
      <w:r>
        <w:rPr>
          <w:rFonts w:ascii="Times New Roman" w:hAnsi="Times New Roman" w:eastAsia="仿宋_GB2312" w:cs="Times New Roman"/>
          <w:color w:val="000000" w:themeColor="text1"/>
          <w:kern w:val="0"/>
          <w:sz w:val="32"/>
          <w:szCs w:val="32"/>
          <w14:textFill>
            <w14:solidFill>
              <w14:schemeClr w14:val="tx1"/>
            </w14:solidFill>
          </w14:textFill>
        </w:rPr>
        <w:t>南京市义务教育招生信息化服务平台</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w:t>
      </w:r>
      <w:r>
        <w:rPr>
          <w:rFonts w:ascii="Times New Roman" w:hAnsi="Times New Roman" w:eastAsia="仿宋_GB2312" w:cs="Times New Roman"/>
          <w:color w:val="000000" w:themeColor="text1"/>
          <w:kern w:val="0"/>
          <w:sz w:val="32"/>
          <w:szCs w:val="32"/>
          <w14:textFill>
            <w14:solidFill>
              <w14:schemeClr w14:val="tx1"/>
            </w14:solidFill>
          </w14:textFill>
        </w:rPr>
        <w:t>注册登记，未同时在线上报名的和南京市义务教育招生信息化服务平台注册登记的，不得参加专业测试</w:t>
      </w:r>
      <w:r>
        <w:rPr>
          <w:rFonts w:hint="eastAsia" w:ascii="仿宋" w:hAnsi="仿宋" w:eastAsia="仿宋" w:cs="仿宋"/>
          <w:sz w:val="32"/>
          <w:szCs w:val="32"/>
        </w:rPr>
        <w:t>。</w:t>
      </w:r>
    </w:p>
    <w:p w14:paraId="47567882">
      <w:pPr>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需要线下提交的纸质报名材料有：①运动员等级证书原件及复印件；②竞赛成绩证书原件及复印件；③四至六年级成长手册原件及复印件；④户口簿及身份证原件及复印件（原件审验后交还考生或家长）；⑤近期免冠1寸照片1张。（学生报名项目必须与提交的专业成绩证明材料项目一致。）</w:t>
      </w:r>
    </w:p>
    <w:p w14:paraId="4F9161A3">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请于6月</w:t>
      </w:r>
      <w:r>
        <w:rPr>
          <w:rFonts w:hint="eastAsia" w:ascii="仿宋" w:hAnsi="仿宋" w:eastAsia="仿宋" w:cs="仿宋"/>
          <w:color w:val="auto"/>
          <w:sz w:val="32"/>
          <w:szCs w:val="32"/>
          <w:lang w:val="en-US" w:eastAsia="zh-CN"/>
        </w:rPr>
        <w:t>5</w:t>
      </w:r>
      <w:r>
        <w:rPr>
          <w:rFonts w:hint="eastAsia" w:ascii="仿宋" w:hAnsi="仿宋" w:eastAsia="仿宋" w:cs="仿宋"/>
          <w:color w:val="auto"/>
          <w:sz w:val="32"/>
          <w:szCs w:val="32"/>
        </w:rPr>
        <w:t>日</w:t>
      </w:r>
      <w:r>
        <w:rPr>
          <w:rFonts w:hint="eastAsia" w:ascii="仿宋" w:hAnsi="仿宋" w:eastAsia="仿宋" w:cs="仿宋"/>
          <w:color w:val="auto"/>
          <w:sz w:val="32"/>
          <w:szCs w:val="32"/>
          <w:lang w:val="en-US" w:eastAsia="zh-CN"/>
        </w:rPr>
        <w:t>9</w:t>
      </w:r>
      <w:r>
        <w:rPr>
          <w:rFonts w:hint="eastAsia" w:ascii="仿宋" w:hAnsi="仿宋" w:eastAsia="仿宋" w:cs="仿宋"/>
          <w:color w:val="auto"/>
          <w:sz w:val="32"/>
          <w:szCs w:val="32"/>
        </w:rPr>
        <w:t>:00</w:t>
      </w:r>
      <w:r>
        <w:rPr>
          <w:rFonts w:hint="eastAsia" w:ascii="仿宋" w:hAnsi="仿宋" w:eastAsia="仿宋" w:cs="仿宋"/>
          <w:color w:val="auto"/>
          <w:sz w:val="32"/>
          <w:szCs w:val="32"/>
          <w:lang w:val="en-US" w:eastAsia="zh-CN"/>
        </w:rPr>
        <w:t>～11</w:t>
      </w:r>
      <w:r>
        <w:rPr>
          <w:rFonts w:hint="eastAsia" w:ascii="仿宋" w:hAnsi="仿宋" w:eastAsia="仿宋" w:cs="仿宋"/>
          <w:color w:val="auto"/>
          <w:sz w:val="32"/>
          <w:szCs w:val="32"/>
        </w:rPr>
        <w:t>:00，到南京市龙江体育运动学校提交报名材料；联系人：欧亚超；地址：南京市龙园西路58号；联系电话：15105176485。</w:t>
      </w:r>
    </w:p>
    <w:p w14:paraId="35537EA6">
      <w:pPr>
        <w:spacing w:line="560" w:lineRule="exact"/>
        <w:ind w:firstLine="640"/>
        <w:rPr>
          <w:rFonts w:ascii="仿宋" w:hAnsi="仿宋" w:eastAsia="仿宋" w:cs="仿宋"/>
          <w:color w:val="auto"/>
          <w:sz w:val="32"/>
          <w:szCs w:val="32"/>
        </w:rPr>
      </w:pPr>
      <w:r>
        <w:rPr>
          <w:rFonts w:hint="eastAsia" w:ascii="仿宋" w:hAnsi="仿宋" w:eastAsia="仿宋" w:cs="仿宋"/>
          <w:color w:val="auto"/>
          <w:sz w:val="32"/>
          <w:szCs w:val="32"/>
        </w:rPr>
        <w:t>（二）6月</w:t>
      </w:r>
      <w:r>
        <w:rPr>
          <w:rFonts w:hint="eastAsia" w:ascii="仿宋" w:hAnsi="仿宋" w:eastAsia="仿宋" w:cs="仿宋"/>
          <w:color w:val="auto"/>
          <w:sz w:val="32"/>
          <w:szCs w:val="32"/>
          <w:lang w:val="en-US" w:eastAsia="zh-CN"/>
        </w:rPr>
        <w:t>5</w:t>
      </w:r>
      <w:r>
        <w:rPr>
          <w:rFonts w:hint="eastAsia" w:ascii="仿宋" w:hAnsi="仿宋" w:eastAsia="仿宋" w:cs="仿宋"/>
          <w:color w:val="auto"/>
          <w:sz w:val="32"/>
          <w:szCs w:val="32"/>
        </w:rPr>
        <w:t>日</w:t>
      </w:r>
      <w:r>
        <w:rPr>
          <w:rFonts w:hint="eastAsia" w:ascii="仿宋" w:hAnsi="仿宋" w:eastAsia="仿宋" w:cs="仿宋"/>
          <w:color w:val="auto"/>
          <w:sz w:val="32"/>
          <w:szCs w:val="32"/>
          <w:lang w:val="en-US" w:eastAsia="zh-CN"/>
        </w:rPr>
        <w:t>下午14:00～16:00</w:t>
      </w:r>
      <w:r>
        <w:rPr>
          <w:rFonts w:hint="eastAsia" w:ascii="仿宋" w:hAnsi="仿宋" w:eastAsia="仿宋" w:cs="仿宋"/>
          <w:color w:val="auto"/>
          <w:sz w:val="32"/>
          <w:szCs w:val="32"/>
        </w:rPr>
        <w:t>，</w:t>
      </w:r>
      <w:r>
        <w:rPr>
          <w:rFonts w:hint="eastAsia" w:ascii="仿宋" w:hAnsi="仿宋" w:eastAsia="仿宋" w:cs="仿宋"/>
          <w:sz w:val="32"/>
          <w:szCs w:val="32"/>
          <w:lang w:val="en-US" w:eastAsia="zh-CN"/>
        </w:rPr>
        <w:t>南京市中华中学附属初级中学</w:t>
      </w:r>
      <w:r>
        <w:rPr>
          <w:rFonts w:hint="eastAsia" w:ascii="仿宋" w:hAnsi="仿宋" w:eastAsia="仿宋" w:cs="仿宋"/>
          <w:color w:val="auto"/>
          <w:sz w:val="32"/>
          <w:szCs w:val="32"/>
          <w:lang w:val="en-US" w:eastAsia="zh-CN"/>
        </w:rPr>
        <w:t>和</w:t>
      </w:r>
      <w:r>
        <w:rPr>
          <w:rFonts w:hint="eastAsia" w:ascii="仿宋" w:hAnsi="仿宋" w:eastAsia="仿宋" w:cs="仿宋"/>
          <w:sz w:val="32"/>
          <w:szCs w:val="32"/>
        </w:rPr>
        <w:t>南京市龙江体育运动学校</w:t>
      </w:r>
      <w:bookmarkStart w:id="0" w:name="_GoBack"/>
      <w:bookmarkEnd w:id="0"/>
      <w:r>
        <w:rPr>
          <w:rFonts w:hint="eastAsia" w:ascii="仿宋" w:hAnsi="仿宋" w:eastAsia="仿宋" w:cs="仿宋"/>
          <w:color w:val="auto"/>
          <w:sz w:val="32"/>
          <w:szCs w:val="32"/>
        </w:rPr>
        <w:t>共同对报名学</w:t>
      </w:r>
      <w:r>
        <w:rPr>
          <w:rFonts w:hint="eastAsia" w:ascii="仿宋" w:hAnsi="仿宋" w:eastAsia="仿宋" w:cs="仿宋"/>
          <w:sz w:val="32"/>
          <w:szCs w:val="32"/>
        </w:rPr>
        <w:t>生材料进行审核。6月</w:t>
      </w:r>
      <w:r>
        <w:rPr>
          <w:rFonts w:hint="eastAsia" w:ascii="仿宋" w:hAnsi="仿宋" w:eastAsia="仿宋" w:cs="仿宋"/>
          <w:sz w:val="32"/>
          <w:szCs w:val="32"/>
          <w:lang w:val="en-US" w:eastAsia="zh-CN"/>
        </w:rPr>
        <w:t>6</w:t>
      </w:r>
      <w:r>
        <w:rPr>
          <w:rFonts w:hint="eastAsia" w:ascii="仿宋" w:hAnsi="仿宋" w:eastAsia="仿宋" w:cs="仿宋"/>
          <w:sz w:val="32"/>
          <w:szCs w:val="32"/>
        </w:rPr>
        <w:t>日，审核合格的报名学生名单将在南京市体育局网站（https://sports.nanjing.gov.cn/）和</w:t>
      </w:r>
      <w:r>
        <w:rPr>
          <w:rFonts w:hint="eastAsia" w:ascii="仿宋" w:hAnsi="仿宋" w:eastAsia="仿宋" w:cs="仿宋"/>
          <w:sz w:val="32"/>
          <w:szCs w:val="32"/>
          <w:lang w:val="en-US" w:eastAsia="zh-CN"/>
        </w:rPr>
        <w:t>南京市中华中学附属初级中学</w:t>
      </w:r>
      <w:r>
        <w:rPr>
          <w:rFonts w:hint="eastAsia" w:ascii="仿宋" w:hAnsi="仿宋" w:eastAsia="仿宋" w:cs="仿宋"/>
          <w:sz w:val="32"/>
          <w:szCs w:val="32"/>
        </w:rPr>
        <w:t>网站（http://njzhfc.cn）、南京市龙江体育运动学校网站（www.njljtyg.cn）进行公示（公示期</w:t>
      </w:r>
      <w:r>
        <w:rPr>
          <w:rFonts w:hint="eastAsia" w:ascii="仿宋" w:hAnsi="仿宋" w:eastAsia="仿宋" w:cs="仿宋"/>
          <w:sz w:val="32"/>
          <w:szCs w:val="32"/>
          <w:lang w:val="en-US" w:eastAsia="zh-CN"/>
        </w:rPr>
        <w:t>3</w:t>
      </w:r>
      <w:r>
        <w:rPr>
          <w:rFonts w:hint="eastAsia" w:ascii="仿宋" w:hAnsi="仿宋" w:eastAsia="仿宋" w:cs="仿宋"/>
          <w:sz w:val="32"/>
          <w:szCs w:val="32"/>
        </w:rPr>
        <w:t>天）。6月</w:t>
      </w:r>
      <w:r>
        <w:rPr>
          <w:rFonts w:hint="eastAsia" w:ascii="仿宋" w:hAnsi="仿宋" w:eastAsia="仿宋" w:cs="仿宋"/>
          <w:sz w:val="32"/>
          <w:szCs w:val="32"/>
          <w:lang w:val="en-US" w:eastAsia="zh-CN"/>
        </w:rPr>
        <w:t>13</w:t>
      </w:r>
      <w:r>
        <w:rPr>
          <w:rFonts w:hint="eastAsia" w:ascii="仿宋" w:hAnsi="仿宋" w:eastAsia="仿宋" w:cs="仿宋"/>
          <w:sz w:val="32"/>
          <w:szCs w:val="32"/>
        </w:rPr>
        <w:t>日，</w:t>
      </w:r>
      <w:r>
        <w:rPr>
          <w:rFonts w:hint="eastAsia" w:ascii="仿宋" w:hAnsi="仿宋" w:eastAsia="仿宋" w:cs="仿宋"/>
          <w:color w:val="auto"/>
          <w:sz w:val="32"/>
          <w:szCs w:val="32"/>
        </w:rPr>
        <w:t>将对公示无异议的报名学生发放专业测试准考证。</w:t>
      </w:r>
    </w:p>
    <w:p w14:paraId="37F2B297">
      <w:pPr>
        <w:numPr>
          <w:ilvl w:val="0"/>
          <w:numId w:val="1"/>
        </w:numPr>
        <w:spacing w:line="560" w:lineRule="exact"/>
        <w:ind w:firstLine="640"/>
        <w:rPr>
          <w:rFonts w:ascii="仿宋" w:hAnsi="仿宋" w:eastAsia="仿宋" w:cs="仿宋"/>
          <w:color w:val="auto"/>
          <w:sz w:val="32"/>
          <w:szCs w:val="32"/>
        </w:rPr>
      </w:pPr>
      <w:r>
        <w:rPr>
          <w:rFonts w:hint="eastAsia" w:ascii="仿宋" w:hAnsi="仿宋" w:eastAsia="仿宋" w:cs="仿宋"/>
          <w:color w:val="auto"/>
          <w:sz w:val="32"/>
          <w:szCs w:val="32"/>
        </w:rPr>
        <w:t>专业测试</w:t>
      </w:r>
    </w:p>
    <w:p w14:paraId="25A5CA44">
      <w:pPr>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1.时间： 6月2</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日 14:00</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17:00</w:t>
      </w:r>
    </w:p>
    <w:p w14:paraId="638C975F">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2.地点：南京市龙江体育运动学校（龙园西路58号）</w:t>
      </w:r>
    </w:p>
    <w:p w14:paraId="12AB11B1">
      <w:pPr>
        <w:spacing w:line="52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3.</w:t>
      </w:r>
      <w:r>
        <w:rPr>
          <w:rFonts w:hint="eastAsia" w:ascii="仿宋" w:hAnsi="仿宋" w:eastAsia="仿宋" w:cs="仿宋"/>
          <w:color w:val="auto"/>
          <w:sz w:val="32"/>
          <w:szCs w:val="32"/>
          <w:lang w:val="en-US" w:eastAsia="zh-CN"/>
        </w:rPr>
        <w:t>测试</w:t>
      </w:r>
      <w:r>
        <w:rPr>
          <w:rFonts w:hint="eastAsia" w:ascii="仿宋" w:hAnsi="仿宋" w:eastAsia="仿宋" w:cs="仿宋"/>
          <w:color w:val="auto"/>
          <w:sz w:val="32"/>
          <w:szCs w:val="32"/>
        </w:rPr>
        <w:t>内容：</w:t>
      </w:r>
    </w:p>
    <w:p w14:paraId="66A0F239">
      <w:pPr>
        <w:spacing w:line="52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①身体素质30分：跳绳1分钟单飞15分，扇形跑15分</w:t>
      </w:r>
    </w:p>
    <w:p w14:paraId="47796194">
      <w:pPr>
        <w:spacing w:line="52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②基本技术40分：底线正反手打多球20分，发球20分</w:t>
      </w:r>
    </w:p>
    <w:p w14:paraId="4D6BCB23">
      <w:pPr>
        <w:spacing w:line="52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③综合技术（对打）30分：正手斜线对打15分，反手斜线对打15分</w:t>
      </w:r>
    </w:p>
    <w:p w14:paraId="537EA16A">
      <w:pPr>
        <w:spacing w:line="560" w:lineRule="exact"/>
        <w:ind w:firstLine="640" w:firstLineChars="200"/>
        <w:rPr>
          <w:rFonts w:hint="default"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4.评分标准：见附件</w:t>
      </w:r>
    </w:p>
    <w:p w14:paraId="7AEEAEC4">
      <w:pPr>
        <w:spacing w:line="560" w:lineRule="exact"/>
        <w:ind w:firstLine="640" w:firstLineChars="200"/>
        <w:rPr>
          <w:rFonts w:hint="default"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5</w:t>
      </w:r>
      <w:r>
        <w:rPr>
          <w:rFonts w:ascii="仿宋" w:hAnsi="仿宋" w:eastAsia="仿宋" w:cs="仿宋"/>
          <w:b w:val="0"/>
          <w:bCs w:val="0"/>
          <w:color w:val="auto"/>
          <w:sz w:val="32"/>
          <w:szCs w:val="32"/>
        </w:rPr>
        <w:t>.</w:t>
      </w:r>
      <w:r>
        <w:rPr>
          <w:rFonts w:hint="eastAsia" w:ascii="仿宋" w:hAnsi="仿宋" w:eastAsia="仿宋" w:cs="仿宋"/>
          <w:b w:val="0"/>
          <w:bCs w:val="0"/>
          <w:color w:val="auto"/>
          <w:sz w:val="32"/>
          <w:szCs w:val="32"/>
        </w:rPr>
        <w:t>合格线：</w:t>
      </w:r>
      <w:r>
        <w:rPr>
          <w:rFonts w:hint="eastAsia" w:ascii="仿宋" w:hAnsi="仿宋" w:eastAsia="仿宋" w:cs="仿宋"/>
          <w:b w:val="0"/>
          <w:bCs w:val="0"/>
          <w:color w:val="auto"/>
          <w:sz w:val="32"/>
          <w:szCs w:val="32"/>
          <w:lang w:val="en-US" w:eastAsia="zh-CN"/>
        </w:rPr>
        <w:t>60分</w:t>
      </w:r>
    </w:p>
    <w:p w14:paraId="27E12581">
      <w:pPr>
        <w:spacing w:line="560" w:lineRule="exact"/>
        <w:ind w:firstLine="640" w:firstLineChars="200"/>
        <w:rPr>
          <w:rFonts w:hint="eastAsia" w:ascii="Times New Roman" w:hAnsi="Times New Roman" w:eastAsia="仿宋_GB2312" w:cs="Times New Roman"/>
          <w:b w:val="0"/>
          <w:bCs w:val="0"/>
          <w:color w:val="auto"/>
          <w:kern w:val="0"/>
          <w:sz w:val="32"/>
          <w:szCs w:val="32"/>
          <w:lang w:eastAsia="zh-CN"/>
        </w:rPr>
      </w:pPr>
      <w:r>
        <w:rPr>
          <w:rFonts w:hint="eastAsia" w:ascii="Times New Roman" w:hAnsi="Times New Roman" w:eastAsia="仿宋_GB2312" w:cs="Times New Roman"/>
          <w:b w:val="0"/>
          <w:bCs w:val="0"/>
          <w:color w:val="auto"/>
          <w:kern w:val="0"/>
          <w:sz w:val="32"/>
          <w:szCs w:val="32"/>
          <w:lang w:val="en-US" w:eastAsia="zh-CN"/>
        </w:rPr>
        <w:t>6.</w:t>
      </w:r>
      <w:r>
        <w:rPr>
          <w:rFonts w:ascii="Times New Roman" w:hAnsi="Times New Roman" w:eastAsia="仿宋_GB2312" w:cs="Times New Roman"/>
          <w:b w:val="0"/>
          <w:bCs w:val="0"/>
          <w:color w:val="auto"/>
          <w:kern w:val="0"/>
          <w:sz w:val="32"/>
          <w:szCs w:val="32"/>
        </w:rPr>
        <w:t>测试结果尾数同分排序规则</w:t>
      </w:r>
      <w:r>
        <w:rPr>
          <w:rFonts w:hint="eastAsia" w:ascii="Times New Roman" w:hAnsi="Times New Roman" w:eastAsia="仿宋_GB2312" w:cs="Times New Roman"/>
          <w:b w:val="0"/>
          <w:bCs w:val="0"/>
          <w:color w:val="auto"/>
          <w:kern w:val="0"/>
          <w:sz w:val="32"/>
          <w:szCs w:val="32"/>
          <w:lang w:eastAsia="zh-CN"/>
        </w:rPr>
        <w:t>：</w:t>
      </w:r>
    </w:p>
    <w:p w14:paraId="3C960CFE">
      <w:pPr>
        <w:spacing w:line="56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若考生考试总成绩相同，按以下优先级依次对比单项分值确定排名顺序：</w:t>
      </w:r>
    </w:p>
    <w:p w14:paraId="1F1E3298">
      <w:pPr>
        <w:spacing w:line="56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综合技术分值：分值较高者排名靠前；</w:t>
      </w:r>
    </w:p>
    <w:p w14:paraId="7B0CDCD6">
      <w:pPr>
        <w:spacing w:line="56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基本技术分值：若综合技术分值相同，分值较高者排名靠前；</w:t>
      </w:r>
    </w:p>
    <w:p w14:paraId="67BBB095">
      <w:pPr>
        <w:spacing w:line="56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身体素质分值：若前两项分值均相同，分值较高者排名靠前。</w:t>
      </w:r>
    </w:p>
    <w:p w14:paraId="67AADD28">
      <w:pPr>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若三项分值完全一致，可视为并列排名，或根据考试主办方制定的附加规则（如平时训练表现、临场发挥评分等）进一步区分。</w:t>
      </w:r>
    </w:p>
    <w:p w14:paraId="245A096D">
      <w:pPr>
        <w:spacing w:line="560" w:lineRule="exact"/>
        <w:ind w:firstLine="640" w:firstLineChars="200"/>
        <w:rPr>
          <w:rFonts w:hint="eastAsia" w:ascii="仿宋" w:hAnsi="仿宋" w:eastAsia="仿宋" w:cs="仿宋"/>
          <w:b/>
          <w:bCs/>
          <w:color w:val="auto"/>
          <w:sz w:val="32"/>
          <w:szCs w:val="32"/>
          <w:lang w:eastAsia="zh-CN"/>
        </w:rPr>
      </w:pPr>
      <w:r>
        <w:rPr>
          <w:rFonts w:hint="eastAsia" w:ascii="仿宋" w:hAnsi="仿宋" w:eastAsia="仿宋" w:cs="仿宋"/>
          <w:b w:val="0"/>
          <w:bCs w:val="0"/>
          <w:color w:val="auto"/>
          <w:sz w:val="32"/>
          <w:szCs w:val="32"/>
          <w:lang w:val="en-US" w:eastAsia="zh-CN"/>
        </w:rPr>
        <w:t>7.</w:t>
      </w:r>
      <w:r>
        <w:rPr>
          <w:rFonts w:hint="eastAsia" w:ascii="仿宋" w:hAnsi="仿宋" w:eastAsia="仿宋" w:cs="仿宋"/>
          <w:b w:val="0"/>
          <w:bCs w:val="0"/>
          <w:color w:val="auto"/>
          <w:sz w:val="32"/>
          <w:szCs w:val="32"/>
        </w:rPr>
        <w:t>考生</w:t>
      </w:r>
      <w:r>
        <w:rPr>
          <w:rFonts w:hint="eastAsia" w:ascii="仿宋" w:hAnsi="仿宋" w:eastAsia="仿宋" w:cs="仿宋"/>
          <w:color w:val="auto"/>
          <w:sz w:val="32"/>
          <w:szCs w:val="32"/>
        </w:rPr>
        <w:t>自行购买加试当日保险，并在签到时出示购买保险的证明。</w:t>
      </w:r>
    </w:p>
    <w:p w14:paraId="21CFD549">
      <w:pPr>
        <w:spacing w:line="560" w:lineRule="exact"/>
        <w:ind w:firstLine="640" w:firstLineChars="200"/>
        <w:rPr>
          <w:rFonts w:ascii="黑体" w:hAnsi="黑体" w:eastAsia="黑体" w:cs="黑体"/>
          <w:color w:val="auto"/>
          <w:sz w:val="32"/>
          <w:szCs w:val="32"/>
        </w:rPr>
      </w:pPr>
      <w:r>
        <w:rPr>
          <w:rFonts w:hint="eastAsia" w:ascii="黑体" w:hAnsi="黑体" w:eastAsia="黑体" w:cs="黑体"/>
          <w:color w:val="auto"/>
          <w:sz w:val="32"/>
          <w:szCs w:val="32"/>
        </w:rPr>
        <w:t>四、录取</w:t>
      </w:r>
    </w:p>
    <w:p w14:paraId="1765C866">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（一）根据报名学生专业测试成绩情况和阵容要求，择优录取。</w:t>
      </w:r>
    </w:p>
    <w:p w14:paraId="0CC7ED25">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（二）由招生工作领导小组根据专业测试成绩由高到低排名确定拟录取名单（专业测试成绩满分100分，最低录取分数为</w:t>
      </w:r>
      <w:r>
        <w:rPr>
          <w:rFonts w:hint="eastAsia" w:ascii="仿宋" w:hAnsi="仿宋" w:eastAsia="仿宋" w:cs="仿宋"/>
          <w:sz w:val="32"/>
          <w:szCs w:val="32"/>
          <w:lang w:val="en-US" w:eastAsia="zh-CN"/>
        </w:rPr>
        <w:t>60</w:t>
      </w:r>
      <w:r>
        <w:rPr>
          <w:rFonts w:hint="eastAsia" w:ascii="仿宋" w:hAnsi="仿宋" w:eastAsia="仿宋" w:cs="仿宋"/>
          <w:sz w:val="32"/>
          <w:szCs w:val="32"/>
        </w:rPr>
        <w:t>分）。</w:t>
      </w:r>
      <w:r>
        <w:rPr>
          <w:rFonts w:hint="eastAsia" w:ascii="仿宋" w:hAnsi="仿宋" w:eastAsia="仿宋" w:cs="仿宋"/>
          <w:sz w:val="32"/>
          <w:szCs w:val="32"/>
          <w:lang w:val="en-US" w:eastAsia="zh-CN"/>
        </w:rPr>
        <w:t>测试结果</w:t>
      </w:r>
      <w:r>
        <w:rPr>
          <w:rFonts w:hint="eastAsia" w:ascii="仿宋" w:hAnsi="仿宋" w:eastAsia="仿宋" w:cs="仿宋"/>
          <w:sz w:val="32"/>
          <w:szCs w:val="32"/>
        </w:rPr>
        <w:t>于6月</w:t>
      </w:r>
      <w:r>
        <w:rPr>
          <w:rFonts w:hint="eastAsia" w:ascii="仿宋" w:hAnsi="仿宋" w:eastAsia="仿宋" w:cs="仿宋"/>
          <w:sz w:val="32"/>
          <w:szCs w:val="32"/>
          <w:lang w:val="en-US" w:eastAsia="zh-CN"/>
        </w:rPr>
        <w:t>24</w:t>
      </w:r>
      <w:r>
        <w:rPr>
          <w:rFonts w:hint="eastAsia" w:ascii="仿宋" w:hAnsi="仿宋" w:eastAsia="仿宋" w:cs="仿宋"/>
          <w:sz w:val="32"/>
          <w:szCs w:val="32"/>
        </w:rPr>
        <w:t>日在南京市体育局网站（https://sports.nanjing.gov.cn/）和</w:t>
      </w:r>
      <w:r>
        <w:rPr>
          <w:rFonts w:hint="eastAsia" w:ascii="仿宋" w:hAnsi="仿宋" w:eastAsia="仿宋" w:cs="仿宋"/>
          <w:sz w:val="32"/>
          <w:szCs w:val="32"/>
          <w:lang w:val="en-US" w:eastAsia="zh-CN"/>
        </w:rPr>
        <w:t>南京市中华中学附属初级中学</w:t>
      </w:r>
      <w:r>
        <w:rPr>
          <w:rFonts w:hint="eastAsia" w:ascii="仿宋" w:hAnsi="仿宋" w:eastAsia="仿宋" w:cs="仿宋"/>
          <w:sz w:val="32"/>
          <w:szCs w:val="32"/>
        </w:rPr>
        <w:t>网站（http://njzhfc.cn）、南京市龙江体育运动学校网站（www.njljtyg.cn）进行公示（公示期</w:t>
      </w:r>
      <w:r>
        <w:rPr>
          <w:rFonts w:hint="eastAsia" w:ascii="仿宋" w:hAnsi="仿宋" w:eastAsia="仿宋" w:cs="仿宋"/>
          <w:sz w:val="32"/>
          <w:szCs w:val="32"/>
          <w:lang w:val="en-US" w:eastAsia="zh-CN"/>
        </w:rPr>
        <w:t>3</w:t>
      </w:r>
      <w:r>
        <w:rPr>
          <w:rFonts w:hint="eastAsia" w:ascii="仿宋" w:hAnsi="仿宋" w:eastAsia="仿宋" w:cs="仿宋"/>
          <w:sz w:val="32"/>
          <w:szCs w:val="32"/>
        </w:rPr>
        <w:t>天）。</w:t>
      </w:r>
      <w:r>
        <w:rPr>
          <w:rFonts w:hint="eastAsia" w:ascii="仿宋" w:hAnsi="仿宋" w:eastAsia="仿宋" w:cs="仿宋"/>
          <w:sz w:val="32"/>
          <w:szCs w:val="32"/>
          <w:lang w:val="en-US" w:eastAsia="zh-CN"/>
        </w:rPr>
        <w:t>6月30日～7月2日，测试入围拟录取的考生家长在南京市义务教育招生信息化服务平台确认录取信息。</w:t>
      </w:r>
      <w:r>
        <w:rPr>
          <w:rFonts w:ascii="Times New Roman" w:hAnsi="Times New Roman" w:eastAsia="仿宋_GB2312" w:cs="Times New Roman"/>
          <w:color w:val="000000" w:themeColor="text1"/>
          <w:kern w:val="0"/>
          <w:sz w:val="32"/>
          <w:szCs w:val="32"/>
          <w14:textFill>
            <w14:solidFill>
              <w14:schemeClr w14:val="tx1"/>
            </w14:solidFill>
          </w14:textFill>
        </w:rPr>
        <w:t>确认成功后，系统自动锁定生源，不得再被其他学校录取。未在规定时间确认的，视为自动放弃录取</w:t>
      </w:r>
      <w:r>
        <w:rPr>
          <w:rFonts w:hint="eastAsia" w:ascii="Times New Roman" w:hAnsi="Times New Roman" w:eastAsia="仿宋_GB2312" w:cs="Times New Roman"/>
          <w:color w:val="000000" w:themeColor="text1"/>
          <w:kern w:val="0"/>
          <w:sz w:val="32"/>
          <w:szCs w:val="32"/>
          <w14:textFill>
            <w14:solidFill>
              <w14:schemeClr w14:val="tx1"/>
            </w14:solidFill>
          </w14:textFill>
        </w:rPr>
        <w:t>。</w:t>
      </w:r>
      <w:r>
        <w:rPr>
          <w:rFonts w:hint="eastAsia" w:ascii="仿宋" w:hAnsi="仿宋" w:eastAsia="仿宋" w:cs="仿宋"/>
          <w:sz w:val="32"/>
          <w:szCs w:val="32"/>
          <w:lang w:val="en-US" w:eastAsia="zh-CN"/>
        </w:rPr>
        <w:t>8</w:t>
      </w:r>
      <w:r>
        <w:rPr>
          <w:rFonts w:hint="eastAsia" w:ascii="仿宋" w:hAnsi="仿宋" w:eastAsia="仿宋" w:cs="仿宋"/>
          <w:sz w:val="32"/>
          <w:szCs w:val="32"/>
        </w:rPr>
        <w:t>月</w:t>
      </w:r>
      <w:r>
        <w:rPr>
          <w:rFonts w:hint="eastAsia" w:ascii="仿宋" w:hAnsi="仿宋" w:eastAsia="仿宋" w:cs="仿宋"/>
          <w:sz w:val="32"/>
          <w:szCs w:val="32"/>
          <w:lang w:val="en-US" w:eastAsia="zh-CN"/>
        </w:rPr>
        <w:t>10</w:t>
      </w:r>
      <w:r>
        <w:rPr>
          <w:rFonts w:hint="eastAsia" w:ascii="仿宋" w:hAnsi="仿宋" w:eastAsia="仿宋" w:cs="仿宋"/>
          <w:sz w:val="32"/>
          <w:szCs w:val="32"/>
        </w:rPr>
        <w:t>日</w:t>
      </w:r>
      <w:r>
        <w:rPr>
          <w:rFonts w:hint="eastAsia" w:ascii="仿宋" w:hAnsi="仿宋" w:eastAsia="仿宋" w:cs="仿宋"/>
          <w:sz w:val="32"/>
          <w:szCs w:val="32"/>
          <w:lang w:val="en-US" w:eastAsia="zh-CN"/>
        </w:rPr>
        <w:t>前</w:t>
      </w:r>
      <w:r>
        <w:rPr>
          <w:rFonts w:hint="eastAsia" w:ascii="仿宋" w:hAnsi="仿宋" w:eastAsia="仿宋" w:cs="仿宋"/>
          <w:sz w:val="32"/>
          <w:szCs w:val="32"/>
        </w:rPr>
        <w:t>，</w:t>
      </w:r>
      <w:r>
        <w:rPr>
          <w:rFonts w:hint="eastAsia" w:ascii="Times New Roman" w:hAnsi="Times New Roman" w:eastAsia="仿宋_GB2312" w:cs="Times New Roman"/>
          <w:color w:val="000000" w:themeColor="text1"/>
          <w:kern w:val="0"/>
          <w:sz w:val="32"/>
          <w:szCs w:val="32"/>
          <w14:textFill>
            <w14:solidFill>
              <w14:schemeClr w14:val="tx1"/>
            </w14:solidFill>
          </w14:textFill>
        </w:rPr>
        <w:t>根据</w:t>
      </w:r>
      <w:r>
        <w:rPr>
          <w:rFonts w:ascii="Times New Roman" w:hAnsi="Times New Roman" w:eastAsia="仿宋_GB2312" w:cs="Times New Roman"/>
          <w:color w:val="000000" w:themeColor="text1"/>
          <w:kern w:val="0"/>
          <w:sz w:val="32"/>
          <w:szCs w:val="32"/>
          <w14:textFill>
            <w14:solidFill>
              <w14:schemeClr w14:val="tx1"/>
            </w14:solidFill>
          </w14:textFill>
        </w:rPr>
        <w:t>南京市义务教育招生信息化服务平台最终</w:t>
      </w:r>
      <w:r>
        <w:rPr>
          <w:rFonts w:hint="eastAsia" w:ascii="Times New Roman" w:hAnsi="Times New Roman" w:eastAsia="仿宋_GB2312" w:cs="Times New Roman"/>
          <w:color w:val="000000" w:themeColor="text1"/>
          <w:kern w:val="0"/>
          <w:sz w:val="32"/>
          <w:szCs w:val="32"/>
          <w14:textFill>
            <w14:solidFill>
              <w14:schemeClr w14:val="tx1"/>
            </w14:solidFill>
          </w14:textFill>
        </w:rPr>
        <w:t>确认的</w:t>
      </w:r>
      <w:r>
        <w:rPr>
          <w:rFonts w:ascii="Times New Roman" w:hAnsi="Times New Roman" w:eastAsia="仿宋_GB2312" w:cs="Times New Roman"/>
          <w:color w:val="000000" w:themeColor="text1"/>
          <w:kern w:val="0"/>
          <w:sz w:val="32"/>
          <w:szCs w:val="32"/>
          <w14:textFill>
            <w14:solidFill>
              <w14:schemeClr w14:val="tx1"/>
            </w14:solidFill>
          </w14:textFill>
        </w:rPr>
        <w:t>录取</w:t>
      </w:r>
      <w:r>
        <w:rPr>
          <w:rFonts w:hint="eastAsia" w:ascii="Times New Roman" w:hAnsi="Times New Roman" w:eastAsia="仿宋_GB2312" w:cs="Times New Roman"/>
          <w:color w:val="000000" w:themeColor="text1"/>
          <w:kern w:val="0"/>
          <w:sz w:val="32"/>
          <w:szCs w:val="32"/>
          <w14:textFill>
            <w14:solidFill>
              <w14:schemeClr w14:val="tx1"/>
            </w14:solidFill>
          </w14:textFill>
        </w:rPr>
        <w:t>信息，发放录取通知书。</w:t>
      </w:r>
    </w:p>
    <w:p w14:paraId="680342DB">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未被录取的学生按照2</w:t>
      </w:r>
      <w:r>
        <w:rPr>
          <w:rFonts w:ascii="仿宋" w:hAnsi="仿宋" w:eastAsia="仿宋" w:cs="仿宋"/>
          <w:sz w:val="32"/>
          <w:szCs w:val="32"/>
        </w:rPr>
        <w:t>02</w:t>
      </w:r>
      <w:r>
        <w:rPr>
          <w:rFonts w:hint="eastAsia" w:ascii="仿宋" w:hAnsi="仿宋" w:eastAsia="仿宋" w:cs="仿宋"/>
          <w:sz w:val="32"/>
          <w:szCs w:val="32"/>
          <w:lang w:val="en-US" w:eastAsia="zh-CN"/>
        </w:rPr>
        <w:t>6</w:t>
      </w:r>
      <w:r>
        <w:rPr>
          <w:rFonts w:hint="eastAsia" w:ascii="仿宋" w:hAnsi="仿宋" w:eastAsia="仿宋" w:cs="仿宋"/>
          <w:sz w:val="32"/>
          <w:szCs w:val="32"/>
        </w:rPr>
        <w:t>年南京市义务教育招生政策执行。</w:t>
      </w:r>
    </w:p>
    <w:p w14:paraId="58B85925">
      <w:pPr>
        <w:keepNext w:val="0"/>
        <w:keepLines w:val="0"/>
        <w:pageBreakBefore w:val="0"/>
        <w:widowControl/>
        <w:shd w:val="clear" w:color="auto" w:fill="FFFFFF"/>
        <w:kinsoku/>
        <w:wordWrap w:val="0"/>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bCs/>
          <w:kern w:val="0"/>
          <w:sz w:val="32"/>
          <w:szCs w:val="32"/>
          <w:shd w:val="clear" w:color="auto" w:fill="FFFFFF"/>
        </w:rPr>
      </w:pPr>
      <w:r>
        <w:rPr>
          <w:rFonts w:hint="eastAsia" w:ascii="黑体" w:hAnsi="黑体" w:eastAsia="黑体" w:cs="黑体"/>
          <w:bCs/>
          <w:kern w:val="0"/>
          <w:sz w:val="32"/>
          <w:szCs w:val="32"/>
          <w:shd w:val="clear" w:color="auto" w:fill="FFFFFF"/>
          <w:lang w:val="en-US" w:eastAsia="zh-CN"/>
        </w:rPr>
        <w:t>五、</w:t>
      </w:r>
      <w:r>
        <w:rPr>
          <w:rFonts w:hint="eastAsia" w:ascii="黑体" w:hAnsi="黑体" w:eastAsia="黑体" w:cs="黑体"/>
          <w:bCs/>
          <w:kern w:val="0"/>
          <w:sz w:val="32"/>
          <w:szCs w:val="32"/>
          <w:shd w:val="clear" w:color="auto" w:fill="FFFFFF"/>
        </w:rPr>
        <w:t>监督保障</w:t>
      </w:r>
    </w:p>
    <w:p w14:paraId="28C257CB">
      <w:pPr>
        <w:keepNext w:val="0"/>
        <w:keepLines w:val="0"/>
        <w:pageBreakBefore w:val="0"/>
        <w:widowControl/>
        <w:shd w:val="clear" w:color="auto" w:fill="FFFFFF"/>
        <w:kinsoku/>
        <w:wordWrap w:val="0"/>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lang w:eastAsia="zh-CN"/>
        </w:rPr>
        <w:t>招生工作过程</w:t>
      </w:r>
      <w:r>
        <w:rPr>
          <w:rFonts w:hint="eastAsia" w:ascii="仿宋_GB2312" w:hAnsi="仿宋_GB2312" w:eastAsia="仿宋_GB2312" w:cs="仿宋_GB2312"/>
          <w:color w:val="auto"/>
          <w:sz w:val="32"/>
          <w:szCs w:val="32"/>
          <w:shd w:val="clear" w:color="auto" w:fill="FFFFFF"/>
        </w:rPr>
        <w:t>严格</w:t>
      </w:r>
      <w:r>
        <w:rPr>
          <w:rFonts w:hint="eastAsia" w:ascii="仿宋_GB2312" w:hAnsi="仿宋_GB2312" w:eastAsia="仿宋_GB2312" w:cs="仿宋_GB2312"/>
          <w:color w:val="auto"/>
          <w:sz w:val="32"/>
          <w:szCs w:val="32"/>
          <w:shd w:val="clear" w:color="auto" w:fill="FFFFFF"/>
          <w:lang w:eastAsia="zh-CN"/>
        </w:rPr>
        <w:t>执行市体育局、市教育局关于</w:t>
      </w:r>
      <w:r>
        <w:rPr>
          <w:rFonts w:hint="eastAsia" w:ascii="仿宋_GB2312" w:hAnsi="仿宋_GB2312" w:eastAsia="仿宋_GB2312" w:cs="仿宋_GB2312"/>
          <w:color w:val="auto"/>
          <w:sz w:val="32"/>
          <w:szCs w:val="32"/>
          <w:shd w:val="clear" w:color="auto" w:fill="FFFFFF"/>
          <w:lang w:val="en-US" w:eastAsia="zh-CN"/>
        </w:rPr>
        <w:t>2026年</w:t>
      </w:r>
      <w:r>
        <w:rPr>
          <w:rFonts w:hint="eastAsia" w:ascii="仿宋_GB2312" w:hAnsi="仿宋_GB2312" w:eastAsia="仿宋_GB2312" w:cs="仿宋_GB2312"/>
          <w:color w:val="auto"/>
          <w:sz w:val="32"/>
          <w:szCs w:val="32"/>
          <w:shd w:val="clear" w:color="auto" w:fill="FFFFFF"/>
          <w:lang w:eastAsia="zh-CN"/>
        </w:rPr>
        <w:t>初中体育特定类型招生工作的相关要求，</w:t>
      </w:r>
      <w:r>
        <w:rPr>
          <w:rFonts w:hint="eastAsia" w:ascii="仿宋_GB2312" w:hAnsi="仿宋_GB2312" w:eastAsia="仿宋_GB2312" w:cs="仿宋_GB2312"/>
          <w:color w:val="auto"/>
          <w:sz w:val="32"/>
          <w:szCs w:val="32"/>
          <w:shd w:val="clear" w:color="auto" w:fill="FFFFFF"/>
        </w:rPr>
        <w:t>遵循</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公开程序、公平竞争、公正选拔</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的原则,接受社会监督。</w:t>
      </w:r>
    </w:p>
    <w:p w14:paraId="6C566A79">
      <w:pPr>
        <w:spacing w:line="600" w:lineRule="exact"/>
        <w:ind w:firstLine="640" w:firstLineChars="200"/>
        <w:rPr>
          <w:rFonts w:hint="eastAsia" w:ascii="仿宋_GB2312" w:hAnsi="仿宋_GB2312" w:eastAsia="仿宋_GB2312" w:cs="仿宋_GB2312"/>
          <w:color w:val="auto"/>
          <w:sz w:val="32"/>
          <w:szCs w:val="32"/>
          <w:shd w:val="clear" w:color="auto" w:fill="FFFFFF"/>
          <w:lang w:val="en-US" w:eastAsia="zh-CN"/>
        </w:rPr>
      </w:pPr>
      <w:r>
        <w:rPr>
          <w:rFonts w:hint="eastAsia" w:ascii="仿宋_GB2312" w:hAnsi="仿宋_GB2312" w:eastAsia="仿宋_GB2312" w:cs="仿宋_GB2312"/>
          <w:color w:val="auto"/>
          <w:sz w:val="32"/>
          <w:szCs w:val="32"/>
          <w:shd w:val="clear" w:color="auto" w:fill="FFFFFF"/>
        </w:rPr>
        <w:t>监督投诉电话:</w:t>
      </w:r>
      <w:r>
        <w:rPr>
          <w:rFonts w:hint="eastAsia" w:ascii="仿宋_GB2312" w:hAnsi="仿宋_GB2312" w:eastAsia="仿宋_GB2312" w:cs="仿宋_GB2312"/>
          <w:color w:val="auto"/>
          <w:sz w:val="32"/>
          <w:szCs w:val="32"/>
          <w:shd w:val="clear" w:color="auto" w:fill="FFFFFF"/>
          <w:lang w:val="en-US" w:eastAsia="zh-CN"/>
        </w:rPr>
        <w:t>025-86608728；025-86297537</w:t>
      </w:r>
    </w:p>
    <w:p w14:paraId="3F104529">
      <w:pPr>
        <w:spacing w:line="600" w:lineRule="exact"/>
        <w:ind w:firstLine="640" w:firstLineChars="200"/>
        <w:rPr>
          <w:rFonts w:hint="eastAsia" w:ascii="仿宋_GB2312" w:hAnsi="仿宋_GB2312" w:eastAsia="仿宋_GB2312" w:cs="仿宋_GB2312"/>
          <w:color w:val="auto"/>
          <w:sz w:val="32"/>
          <w:szCs w:val="32"/>
          <w:shd w:val="clear" w:color="auto" w:fill="FFFFFF"/>
          <w:lang w:val="en-US" w:eastAsia="zh-CN"/>
        </w:rPr>
      </w:pPr>
    </w:p>
    <w:p w14:paraId="40A7270F">
      <w:pPr>
        <w:spacing w:line="600" w:lineRule="exact"/>
        <w:ind w:firstLine="640" w:firstLineChars="200"/>
        <w:rPr>
          <w:rFonts w:hint="eastAsia" w:ascii="仿宋_GB2312" w:hAnsi="仿宋_GB2312" w:eastAsia="仿宋_GB2312" w:cs="仿宋_GB2312"/>
          <w:color w:val="auto"/>
          <w:sz w:val="32"/>
          <w:szCs w:val="32"/>
          <w:shd w:val="clear" w:color="auto" w:fill="FFFFFF"/>
          <w:lang w:val="en-US" w:eastAsia="zh-CN"/>
        </w:rPr>
      </w:pPr>
    </w:p>
    <w:p w14:paraId="2D452138">
      <w:pPr>
        <w:spacing w:line="600" w:lineRule="exact"/>
        <w:ind w:firstLine="640" w:firstLineChars="200"/>
        <w:rPr>
          <w:rFonts w:ascii="仿宋" w:hAnsi="仿宋" w:eastAsia="仿宋" w:cs="仿宋"/>
          <w:sz w:val="32"/>
          <w:szCs w:val="32"/>
        </w:rPr>
      </w:pPr>
      <w:r>
        <w:rPr>
          <w:rFonts w:ascii="Times New Roman" w:hAnsi="Times New Roman" w:eastAsia="仿宋_GB2312" w:cs="Times New Roman"/>
          <w:color w:val="000000" w:themeColor="text1"/>
          <w:sz w:val="32"/>
          <w:szCs w:val="32"/>
          <w14:textFill>
            <w14:solidFill>
              <w14:schemeClr w14:val="tx1"/>
            </w14:solidFill>
          </w14:textFill>
        </w:rPr>
        <w:drawing>
          <wp:anchor distT="0" distB="0" distL="114300" distR="114300" simplePos="0" relativeHeight="251659264" behindDoc="1" locked="0" layoutInCell="1" allowOverlap="1">
            <wp:simplePos x="0" y="0"/>
            <wp:positionH relativeFrom="page">
              <wp:posOffset>3450590</wp:posOffset>
            </wp:positionH>
            <wp:positionV relativeFrom="paragraph">
              <wp:posOffset>81280</wp:posOffset>
            </wp:positionV>
            <wp:extent cx="942975" cy="942975"/>
            <wp:effectExtent l="0" t="0" r="9525" b="9525"/>
            <wp:wrapNone/>
            <wp:docPr id="6" name="图片 6" descr="D:\Desktop\微信图片_20260514182117_1991_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D:\Desktop\微信图片_20260514182117_1991_23.p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flipV="1">
                      <a:off x="0" y="0"/>
                      <a:ext cx="942975" cy="942975"/>
                    </a:xfrm>
                    <a:prstGeom prst="rect">
                      <a:avLst/>
                    </a:prstGeom>
                    <a:noFill/>
                    <a:ln>
                      <a:noFill/>
                    </a:ln>
                  </pic:spPr>
                </pic:pic>
              </a:graphicData>
            </a:graphic>
          </wp:anchor>
        </w:drawing>
      </w:r>
    </w:p>
    <w:p w14:paraId="4C8F2CA7">
      <w:pPr>
        <w:spacing w:line="600" w:lineRule="exact"/>
        <w:ind w:firstLine="640" w:firstLineChars="200"/>
        <w:rPr>
          <w:rFonts w:ascii="仿宋" w:hAnsi="仿宋" w:eastAsia="仿宋" w:cs="仿宋"/>
          <w:sz w:val="32"/>
          <w:szCs w:val="32"/>
        </w:rPr>
      </w:pPr>
    </w:p>
    <w:p w14:paraId="36FAA861">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                             </w:t>
      </w:r>
    </w:p>
    <w:p w14:paraId="160EE9FE">
      <w:pPr>
        <w:spacing w:line="600" w:lineRule="exact"/>
        <w:ind w:firstLine="640" w:firstLineChars="200"/>
        <w:jc w:val="center"/>
        <w:rPr>
          <w:rFonts w:ascii="仿宋" w:hAnsi="仿宋" w:eastAsia="仿宋" w:cs="仿宋"/>
          <w:sz w:val="32"/>
          <w:szCs w:val="32"/>
        </w:rPr>
      </w:pPr>
      <w:r>
        <w:rPr>
          <w:rFonts w:hint="eastAsia" w:ascii="仿宋" w:hAnsi="仿宋" w:eastAsia="仿宋" w:cs="仿宋"/>
          <w:sz w:val="32"/>
          <w:szCs w:val="32"/>
        </w:rPr>
        <w:t>（学生报名二维码）</w:t>
      </w:r>
    </w:p>
    <w:p w14:paraId="0F8E6966">
      <w:pPr>
        <w:spacing w:line="600" w:lineRule="exact"/>
        <w:ind w:firstLine="640" w:firstLineChars="200"/>
        <w:jc w:val="right"/>
        <w:rPr>
          <w:rFonts w:ascii="仿宋" w:hAnsi="仿宋" w:eastAsia="仿宋" w:cs="仿宋"/>
          <w:sz w:val="32"/>
          <w:szCs w:val="32"/>
        </w:rPr>
      </w:pPr>
    </w:p>
    <w:p w14:paraId="4DD826C4">
      <w:pPr>
        <w:spacing w:line="600" w:lineRule="exact"/>
        <w:ind w:firstLine="640" w:firstLineChars="200"/>
        <w:jc w:val="right"/>
        <w:rPr>
          <w:rFonts w:ascii="仿宋" w:hAnsi="仿宋" w:eastAsia="仿宋" w:cs="仿宋"/>
          <w:sz w:val="32"/>
          <w:szCs w:val="32"/>
        </w:rPr>
      </w:pPr>
    </w:p>
    <w:p w14:paraId="77659625">
      <w:pPr>
        <w:spacing w:line="600" w:lineRule="exact"/>
        <w:ind w:firstLine="640" w:firstLineChars="200"/>
        <w:jc w:val="right"/>
        <w:rPr>
          <w:rFonts w:ascii="仿宋" w:hAnsi="仿宋" w:eastAsia="仿宋" w:cs="仿宋"/>
          <w:sz w:val="32"/>
          <w:szCs w:val="32"/>
        </w:rPr>
      </w:pPr>
      <w:r>
        <w:rPr>
          <w:rFonts w:hint="eastAsia" w:ascii="仿宋" w:hAnsi="仿宋" w:eastAsia="仿宋" w:cs="仿宋"/>
          <w:sz w:val="32"/>
          <w:szCs w:val="32"/>
          <w:lang w:val="en-US" w:eastAsia="zh-CN"/>
        </w:rPr>
        <w:t>南京市中华中学附属初级中学</w:t>
      </w:r>
    </w:p>
    <w:p w14:paraId="30262A2A">
      <w:pPr>
        <w:spacing w:line="600" w:lineRule="exact"/>
        <w:ind w:firstLine="640" w:firstLineChars="200"/>
        <w:jc w:val="right"/>
        <w:rPr>
          <w:rFonts w:ascii="仿宋" w:hAnsi="仿宋" w:eastAsia="仿宋" w:cs="仿宋"/>
          <w:sz w:val="32"/>
          <w:szCs w:val="32"/>
        </w:rPr>
      </w:pPr>
      <w:r>
        <w:rPr>
          <w:rFonts w:hint="eastAsia" w:ascii="仿宋" w:hAnsi="仿宋" w:eastAsia="仿宋" w:cs="仿宋"/>
          <w:sz w:val="32"/>
          <w:szCs w:val="32"/>
          <w:lang w:val="en-US" w:eastAsia="zh-CN"/>
        </w:rPr>
        <w:t>网球</w:t>
      </w:r>
      <w:r>
        <w:rPr>
          <w:rFonts w:hint="eastAsia" w:ascii="仿宋" w:hAnsi="仿宋" w:eastAsia="仿宋" w:cs="仿宋"/>
          <w:sz w:val="32"/>
          <w:szCs w:val="32"/>
        </w:rPr>
        <w:t>项目特定类型招生工作小组</w:t>
      </w:r>
    </w:p>
    <w:p w14:paraId="5097D2C9">
      <w:pPr>
        <w:spacing w:line="600" w:lineRule="exact"/>
        <w:ind w:firstLine="640" w:firstLineChars="200"/>
        <w:jc w:val="right"/>
        <w:rPr>
          <w:rFonts w:ascii="仿宋" w:hAnsi="仿宋" w:eastAsia="仿宋" w:cs="仿宋"/>
          <w:sz w:val="32"/>
          <w:szCs w:val="32"/>
        </w:rPr>
      </w:pPr>
      <w:r>
        <w:rPr>
          <w:rFonts w:hint="eastAsia" w:ascii="仿宋" w:hAnsi="仿宋" w:eastAsia="仿宋" w:cs="仿宋"/>
          <w:sz w:val="32"/>
          <w:szCs w:val="32"/>
        </w:rPr>
        <w:t xml:space="preserve">                          202</w:t>
      </w:r>
      <w:r>
        <w:rPr>
          <w:rFonts w:hint="eastAsia" w:ascii="仿宋" w:hAnsi="仿宋" w:eastAsia="仿宋" w:cs="仿宋"/>
          <w:sz w:val="32"/>
          <w:szCs w:val="32"/>
          <w:lang w:val="en-US" w:eastAsia="zh-CN"/>
        </w:rPr>
        <w:t>6</w:t>
      </w:r>
      <w:r>
        <w:rPr>
          <w:rFonts w:hint="eastAsia" w:ascii="仿宋" w:hAnsi="仿宋" w:eastAsia="仿宋" w:cs="仿宋"/>
          <w:sz w:val="32"/>
          <w:szCs w:val="32"/>
        </w:rPr>
        <w:t>年</w:t>
      </w:r>
      <w:r>
        <w:rPr>
          <w:rFonts w:hint="eastAsia" w:ascii="仿宋" w:hAnsi="仿宋" w:eastAsia="仿宋" w:cs="仿宋"/>
          <w:sz w:val="32"/>
          <w:szCs w:val="32"/>
          <w:lang w:val="en-US" w:eastAsia="zh-CN"/>
        </w:rPr>
        <w:t>5</w:t>
      </w:r>
      <w:r>
        <w:rPr>
          <w:rFonts w:hint="eastAsia" w:ascii="仿宋" w:hAnsi="仿宋" w:eastAsia="仿宋" w:cs="仿宋"/>
          <w:sz w:val="32"/>
          <w:szCs w:val="32"/>
        </w:rPr>
        <w:t>月</w:t>
      </w:r>
      <w:r>
        <w:rPr>
          <w:rFonts w:hint="eastAsia" w:ascii="仿宋" w:hAnsi="仿宋" w:eastAsia="仿宋" w:cs="仿宋"/>
          <w:sz w:val="32"/>
          <w:szCs w:val="32"/>
          <w:lang w:val="en-US" w:eastAsia="zh-CN"/>
        </w:rPr>
        <w:t>28</w:t>
      </w:r>
      <w:r>
        <w:rPr>
          <w:rFonts w:hint="eastAsia" w:ascii="仿宋" w:hAnsi="仿宋" w:eastAsia="仿宋" w:cs="仿宋"/>
          <w:sz w:val="32"/>
          <w:szCs w:val="32"/>
        </w:rPr>
        <w:t>日</w:t>
      </w:r>
    </w:p>
    <w:p w14:paraId="40F25740">
      <w:pPr>
        <w:spacing w:line="560" w:lineRule="exact"/>
        <w:rPr>
          <w:rFonts w:ascii="仿宋" w:hAnsi="仿宋" w:eastAsia="仿宋" w:cs="仿宋"/>
          <w:sz w:val="32"/>
          <w:szCs w:val="32"/>
        </w:rPr>
      </w:pPr>
    </w:p>
    <w:p w14:paraId="1D42F854">
      <w:pPr>
        <w:spacing w:line="560" w:lineRule="exact"/>
        <w:rPr>
          <w:rFonts w:ascii="仿宋" w:hAnsi="仿宋" w:eastAsia="仿宋" w:cs="仿宋"/>
          <w:sz w:val="32"/>
          <w:szCs w:val="32"/>
        </w:rPr>
      </w:pPr>
    </w:p>
    <w:p w14:paraId="51466803">
      <w:pPr>
        <w:spacing w:line="560" w:lineRule="exact"/>
        <w:rPr>
          <w:rFonts w:ascii="仿宋" w:hAnsi="仿宋" w:eastAsia="仿宋" w:cs="仿宋"/>
          <w:sz w:val="32"/>
          <w:szCs w:val="32"/>
        </w:rPr>
      </w:pPr>
    </w:p>
    <w:p w14:paraId="4C2E1B7D">
      <w:pPr>
        <w:spacing w:line="560" w:lineRule="exact"/>
        <w:rPr>
          <w:rFonts w:ascii="仿宋" w:hAnsi="仿宋" w:eastAsia="仿宋" w:cs="仿宋"/>
          <w:sz w:val="32"/>
          <w:szCs w:val="32"/>
        </w:rPr>
      </w:pPr>
    </w:p>
    <w:p w14:paraId="6EB9B70F">
      <w:pPr>
        <w:spacing w:line="560" w:lineRule="exact"/>
        <w:rPr>
          <w:rFonts w:ascii="仿宋" w:hAnsi="仿宋" w:eastAsia="仿宋" w:cs="仿宋"/>
          <w:sz w:val="32"/>
          <w:szCs w:val="32"/>
        </w:rPr>
      </w:pPr>
    </w:p>
    <w:p w14:paraId="42BC1C30">
      <w:pPr>
        <w:spacing w:line="560" w:lineRule="exac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附件</w:t>
      </w:r>
    </w:p>
    <w:p w14:paraId="5B37EDE1">
      <w:pPr>
        <w:spacing w:line="560" w:lineRule="exact"/>
        <w:jc w:val="center"/>
        <w:rPr>
          <w:rFonts w:hint="eastAsia" w:ascii="方正大标宋简体" w:hAnsi="方正大标宋简体" w:eastAsia="方正大标宋简体"/>
          <w:sz w:val="36"/>
          <w:szCs w:val="36"/>
          <w:lang w:val="en-US" w:eastAsia="zh-CN"/>
        </w:rPr>
      </w:pPr>
      <w:r>
        <w:rPr>
          <w:rFonts w:ascii="方正大标宋简体" w:hAnsi="方正大标宋简体" w:eastAsia="方正大标宋简体"/>
          <w:sz w:val="36"/>
          <w:szCs w:val="36"/>
        </w:rPr>
        <w:t>202</w:t>
      </w:r>
      <w:r>
        <w:rPr>
          <w:rFonts w:hint="eastAsia" w:ascii="方正大标宋简体" w:hAnsi="方正大标宋简体" w:eastAsia="方正大标宋简体"/>
          <w:sz w:val="36"/>
          <w:szCs w:val="36"/>
          <w:lang w:val="en-US" w:eastAsia="zh-CN"/>
        </w:rPr>
        <w:t>6</w:t>
      </w:r>
      <w:r>
        <w:rPr>
          <w:rFonts w:hint="eastAsia" w:ascii="方正大标宋简体" w:hAnsi="方正大标宋简体" w:eastAsia="方正大标宋简体"/>
          <w:sz w:val="36"/>
          <w:szCs w:val="36"/>
        </w:rPr>
        <w:t>年</w:t>
      </w:r>
      <w:r>
        <w:rPr>
          <w:rFonts w:hint="eastAsia" w:ascii="方正大标宋简体" w:hAnsi="方正大标宋简体" w:eastAsia="方正大标宋简体"/>
          <w:sz w:val="36"/>
          <w:szCs w:val="36"/>
          <w:lang w:val="en-US" w:eastAsia="zh-CN"/>
        </w:rPr>
        <w:t>网球</w:t>
      </w:r>
      <w:r>
        <w:rPr>
          <w:rFonts w:ascii="方正大标宋简体" w:hAnsi="方正大标宋简体" w:eastAsia="方正大标宋简体"/>
          <w:sz w:val="36"/>
          <w:szCs w:val="36"/>
        </w:rPr>
        <w:t>项目体育特定类型招生</w:t>
      </w:r>
      <w:r>
        <w:rPr>
          <w:rFonts w:hint="eastAsia" w:ascii="方正大标宋简体" w:hAnsi="方正大标宋简体" w:eastAsia="方正大标宋简体"/>
          <w:sz w:val="36"/>
          <w:szCs w:val="36"/>
          <w:lang w:val="en-US" w:eastAsia="zh-CN"/>
        </w:rPr>
        <w:t>评分标准</w:t>
      </w:r>
    </w:p>
    <w:p w14:paraId="333C03BE">
      <w:pPr>
        <w:keepNext w:val="0"/>
        <w:keepLines w:val="0"/>
        <w:pageBreakBefore w:val="0"/>
        <w:widowControl w:val="0"/>
        <w:kinsoku/>
        <w:wordWrap/>
        <w:overflowPunct/>
        <w:topLinePunct w:val="0"/>
        <w:autoSpaceDE/>
        <w:autoSpaceDN/>
        <w:bidi w:val="0"/>
        <w:adjustRightInd/>
        <w:snapToGrid/>
        <w:spacing w:line="240" w:lineRule="exact"/>
        <w:ind w:firstLine="640" w:firstLineChars="200"/>
        <w:textAlignment w:val="auto"/>
        <w:rPr>
          <w:rFonts w:hint="eastAsia" w:ascii="黑体" w:hAnsi="黑体" w:eastAsia="黑体" w:cs="黑体"/>
          <w:sz w:val="32"/>
          <w:szCs w:val="32"/>
        </w:rPr>
      </w:pPr>
    </w:p>
    <w:p w14:paraId="0058793B">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一、考核指标的设置及权重（表）</w:t>
      </w:r>
    </w:p>
    <w:tbl>
      <w:tblPr>
        <w:tblStyle w:val="5"/>
        <w:tblW w:w="0" w:type="auto"/>
        <w:tblInd w:w="0" w:type="dxa"/>
        <w:tblLayout w:type="fixed"/>
        <w:tblCellMar>
          <w:top w:w="0" w:type="dxa"/>
          <w:left w:w="10" w:type="dxa"/>
          <w:bottom w:w="0" w:type="dxa"/>
          <w:right w:w="10" w:type="dxa"/>
        </w:tblCellMar>
      </w:tblPr>
      <w:tblGrid>
        <w:gridCol w:w="2544"/>
        <w:gridCol w:w="1144"/>
        <w:gridCol w:w="3544"/>
        <w:gridCol w:w="1290"/>
      </w:tblGrid>
      <w:tr w14:paraId="5A44A65B">
        <w:tblPrEx>
          <w:tblCellMar>
            <w:top w:w="0" w:type="dxa"/>
            <w:left w:w="10" w:type="dxa"/>
            <w:bottom w:w="0" w:type="dxa"/>
            <w:right w:w="10" w:type="dxa"/>
          </w:tblCellMar>
        </w:tblPrEx>
        <w:trPr>
          <w:cantSplit/>
          <w:trHeight w:val="467" w:hRule="atLeast"/>
        </w:trPr>
        <w:tc>
          <w:tcPr>
            <w:tcW w:w="254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3DBF1E">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一级指标</w:t>
            </w:r>
          </w:p>
        </w:tc>
        <w:tc>
          <w:tcPr>
            <w:tcW w:w="4688"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415A42">
            <w:pPr>
              <w:spacing w:line="560" w:lineRule="exact"/>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二级指标</w:t>
            </w:r>
          </w:p>
        </w:tc>
        <w:tc>
          <w:tcPr>
            <w:tcW w:w="1290"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1F38D0">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权重</w:t>
            </w:r>
          </w:p>
          <w:p w14:paraId="6909C788">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（100）</w:t>
            </w:r>
          </w:p>
        </w:tc>
      </w:tr>
      <w:tr w14:paraId="0BA50715">
        <w:tblPrEx>
          <w:tblCellMar>
            <w:top w:w="0" w:type="dxa"/>
            <w:left w:w="10" w:type="dxa"/>
            <w:bottom w:w="0" w:type="dxa"/>
            <w:right w:w="10" w:type="dxa"/>
          </w:tblCellMar>
        </w:tblPrEx>
        <w:trPr>
          <w:cantSplit/>
          <w:trHeight w:val="1" w:hRule="atLeast"/>
        </w:trPr>
        <w:tc>
          <w:tcPr>
            <w:tcW w:w="254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610EB0">
            <w:pPr>
              <w:spacing w:line="560" w:lineRule="exact"/>
              <w:ind w:firstLine="480" w:firstLineChars="200"/>
              <w:jc w:val="center"/>
              <w:rPr>
                <w:rFonts w:hint="eastAsia" w:ascii="仿宋" w:hAnsi="仿宋" w:eastAsia="仿宋" w:cs="仿宋"/>
                <w:sz w:val="24"/>
                <w:szCs w:val="24"/>
              </w:rPr>
            </w:pPr>
          </w:p>
        </w:tc>
        <w:tc>
          <w:tcPr>
            <w:tcW w:w="11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6F6890">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序号</w:t>
            </w:r>
          </w:p>
        </w:tc>
        <w:tc>
          <w:tcPr>
            <w:tcW w:w="35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8B34A7">
            <w:pPr>
              <w:spacing w:line="560" w:lineRule="exact"/>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内容</w:t>
            </w:r>
          </w:p>
        </w:tc>
        <w:tc>
          <w:tcPr>
            <w:tcW w:w="1290"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1E6D77">
            <w:pPr>
              <w:spacing w:line="560" w:lineRule="exact"/>
              <w:ind w:firstLine="480" w:firstLineChars="200"/>
              <w:jc w:val="center"/>
              <w:rPr>
                <w:rFonts w:hint="eastAsia" w:ascii="仿宋" w:hAnsi="仿宋" w:eastAsia="仿宋" w:cs="仿宋"/>
                <w:sz w:val="24"/>
                <w:szCs w:val="24"/>
              </w:rPr>
            </w:pPr>
          </w:p>
        </w:tc>
      </w:tr>
      <w:tr w14:paraId="03FDE13A">
        <w:tblPrEx>
          <w:tblCellMar>
            <w:top w:w="0" w:type="dxa"/>
            <w:left w:w="10" w:type="dxa"/>
            <w:bottom w:w="0" w:type="dxa"/>
            <w:right w:w="10" w:type="dxa"/>
          </w:tblCellMar>
        </w:tblPrEx>
        <w:trPr>
          <w:cantSplit/>
          <w:trHeight w:val="1" w:hRule="atLeast"/>
        </w:trPr>
        <w:tc>
          <w:tcPr>
            <w:tcW w:w="254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9F7302">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身体素质</w:t>
            </w:r>
          </w:p>
          <w:p w14:paraId="7CCD2804">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（30%）</w:t>
            </w:r>
          </w:p>
        </w:tc>
        <w:tc>
          <w:tcPr>
            <w:tcW w:w="11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F43F25">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1</w:t>
            </w:r>
          </w:p>
        </w:tc>
        <w:tc>
          <w:tcPr>
            <w:tcW w:w="35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638AD5">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跳绳1分钟单飞</w:t>
            </w:r>
          </w:p>
        </w:tc>
        <w:tc>
          <w:tcPr>
            <w:tcW w:w="12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487C37">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15</w:t>
            </w:r>
          </w:p>
        </w:tc>
      </w:tr>
      <w:tr w14:paraId="051218F8">
        <w:tblPrEx>
          <w:tblCellMar>
            <w:top w:w="0" w:type="dxa"/>
            <w:left w:w="10" w:type="dxa"/>
            <w:bottom w:w="0" w:type="dxa"/>
            <w:right w:w="10" w:type="dxa"/>
          </w:tblCellMar>
        </w:tblPrEx>
        <w:trPr>
          <w:cantSplit/>
          <w:trHeight w:val="1" w:hRule="atLeast"/>
        </w:trPr>
        <w:tc>
          <w:tcPr>
            <w:tcW w:w="254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27C7C2">
            <w:pPr>
              <w:spacing w:line="560" w:lineRule="exact"/>
              <w:ind w:firstLine="480" w:firstLineChars="200"/>
              <w:jc w:val="center"/>
              <w:rPr>
                <w:rFonts w:hint="eastAsia" w:ascii="仿宋" w:hAnsi="仿宋" w:eastAsia="仿宋" w:cs="仿宋"/>
                <w:sz w:val="24"/>
                <w:szCs w:val="24"/>
              </w:rPr>
            </w:pPr>
          </w:p>
        </w:tc>
        <w:tc>
          <w:tcPr>
            <w:tcW w:w="11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9C19F9">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2</w:t>
            </w:r>
          </w:p>
        </w:tc>
        <w:tc>
          <w:tcPr>
            <w:tcW w:w="35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D066D2">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扇形跑</w:t>
            </w:r>
          </w:p>
        </w:tc>
        <w:tc>
          <w:tcPr>
            <w:tcW w:w="12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35F32D">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15</w:t>
            </w:r>
          </w:p>
        </w:tc>
      </w:tr>
      <w:tr w14:paraId="30779C79">
        <w:tblPrEx>
          <w:tblCellMar>
            <w:top w:w="0" w:type="dxa"/>
            <w:left w:w="10" w:type="dxa"/>
            <w:bottom w:w="0" w:type="dxa"/>
            <w:right w:w="10" w:type="dxa"/>
          </w:tblCellMar>
        </w:tblPrEx>
        <w:trPr>
          <w:cantSplit/>
          <w:trHeight w:val="1" w:hRule="atLeast"/>
        </w:trPr>
        <w:tc>
          <w:tcPr>
            <w:tcW w:w="254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E17EC5">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基本技术</w:t>
            </w:r>
          </w:p>
          <w:p w14:paraId="48EF9E10">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（40%）</w:t>
            </w:r>
          </w:p>
        </w:tc>
        <w:tc>
          <w:tcPr>
            <w:tcW w:w="11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1B713E">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3</w:t>
            </w:r>
          </w:p>
        </w:tc>
        <w:tc>
          <w:tcPr>
            <w:tcW w:w="35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AA7FE7">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底线正反手打多球</w:t>
            </w:r>
          </w:p>
        </w:tc>
        <w:tc>
          <w:tcPr>
            <w:tcW w:w="12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0CBB9D">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20</w:t>
            </w:r>
          </w:p>
        </w:tc>
      </w:tr>
      <w:tr w14:paraId="6EDF8F97">
        <w:tblPrEx>
          <w:tblCellMar>
            <w:top w:w="0" w:type="dxa"/>
            <w:left w:w="10" w:type="dxa"/>
            <w:bottom w:w="0" w:type="dxa"/>
            <w:right w:w="10" w:type="dxa"/>
          </w:tblCellMar>
        </w:tblPrEx>
        <w:trPr>
          <w:cantSplit/>
          <w:trHeight w:val="1" w:hRule="atLeast"/>
        </w:trPr>
        <w:tc>
          <w:tcPr>
            <w:tcW w:w="254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4DA78D">
            <w:pPr>
              <w:spacing w:line="560" w:lineRule="exact"/>
              <w:ind w:firstLine="480" w:firstLineChars="200"/>
              <w:jc w:val="center"/>
              <w:rPr>
                <w:rFonts w:hint="eastAsia" w:ascii="仿宋" w:hAnsi="仿宋" w:eastAsia="仿宋" w:cs="仿宋"/>
                <w:sz w:val="24"/>
                <w:szCs w:val="24"/>
              </w:rPr>
            </w:pPr>
          </w:p>
        </w:tc>
        <w:tc>
          <w:tcPr>
            <w:tcW w:w="11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B9E3FD">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4</w:t>
            </w:r>
          </w:p>
        </w:tc>
        <w:tc>
          <w:tcPr>
            <w:tcW w:w="35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BBC126">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发球</w:t>
            </w:r>
          </w:p>
        </w:tc>
        <w:tc>
          <w:tcPr>
            <w:tcW w:w="12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63492C">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20</w:t>
            </w:r>
          </w:p>
        </w:tc>
      </w:tr>
      <w:tr w14:paraId="5FB2FE53">
        <w:tblPrEx>
          <w:tblCellMar>
            <w:top w:w="0" w:type="dxa"/>
            <w:left w:w="10" w:type="dxa"/>
            <w:bottom w:w="0" w:type="dxa"/>
            <w:right w:w="10" w:type="dxa"/>
          </w:tblCellMar>
        </w:tblPrEx>
        <w:trPr>
          <w:cantSplit/>
          <w:trHeight w:val="1" w:hRule="atLeast"/>
        </w:trPr>
        <w:tc>
          <w:tcPr>
            <w:tcW w:w="254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02CF85">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综合技术（对打）</w:t>
            </w:r>
          </w:p>
          <w:p w14:paraId="05928A45">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（30%）</w:t>
            </w:r>
          </w:p>
        </w:tc>
        <w:tc>
          <w:tcPr>
            <w:tcW w:w="11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78860D">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5</w:t>
            </w:r>
          </w:p>
        </w:tc>
        <w:tc>
          <w:tcPr>
            <w:tcW w:w="35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F81CDC">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正手斜线对打</w:t>
            </w:r>
          </w:p>
        </w:tc>
        <w:tc>
          <w:tcPr>
            <w:tcW w:w="12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AB0DBA">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15</w:t>
            </w:r>
          </w:p>
        </w:tc>
      </w:tr>
      <w:tr w14:paraId="65DB1AE4">
        <w:tblPrEx>
          <w:tblCellMar>
            <w:top w:w="0" w:type="dxa"/>
            <w:left w:w="10" w:type="dxa"/>
            <w:bottom w:w="0" w:type="dxa"/>
            <w:right w:w="10" w:type="dxa"/>
          </w:tblCellMar>
        </w:tblPrEx>
        <w:trPr>
          <w:cantSplit/>
          <w:trHeight w:val="1" w:hRule="atLeast"/>
        </w:trPr>
        <w:tc>
          <w:tcPr>
            <w:tcW w:w="254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3DAD27">
            <w:pPr>
              <w:spacing w:line="560" w:lineRule="exact"/>
              <w:ind w:firstLine="480" w:firstLineChars="200"/>
              <w:jc w:val="center"/>
              <w:rPr>
                <w:rFonts w:hint="eastAsia" w:ascii="仿宋" w:hAnsi="仿宋" w:eastAsia="仿宋" w:cs="仿宋"/>
                <w:sz w:val="24"/>
                <w:szCs w:val="24"/>
              </w:rPr>
            </w:pPr>
          </w:p>
        </w:tc>
        <w:tc>
          <w:tcPr>
            <w:tcW w:w="11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3ED680">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6</w:t>
            </w:r>
          </w:p>
        </w:tc>
        <w:tc>
          <w:tcPr>
            <w:tcW w:w="35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D0E19B">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反手斜线对打</w:t>
            </w:r>
          </w:p>
        </w:tc>
        <w:tc>
          <w:tcPr>
            <w:tcW w:w="12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8214F8">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15</w:t>
            </w:r>
          </w:p>
        </w:tc>
      </w:tr>
    </w:tbl>
    <w:p w14:paraId="47C05B69">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二、各指标测试方法及评分标准</w:t>
      </w:r>
    </w:p>
    <w:p w14:paraId="6A12B415">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（一）身体素质（30分）</w:t>
      </w:r>
    </w:p>
    <w:p w14:paraId="38E65E13">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扇形跑</w:t>
      </w:r>
    </w:p>
    <w:p w14:paraId="73ABC94B">
      <w:pPr>
        <w:spacing w:line="560" w:lineRule="exact"/>
        <w:ind w:firstLine="640" w:firstLineChars="200"/>
        <w:rPr>
          <w:rFonts w:ascii="宋体" w:hAnsi="宋体" w:eastAsia="宋体" w:cs="宋体"/>
          <w:color w:val="auto"/>
          <w:spacing w:val="0"/>
          <w:position w:val="0"/>
          <w:sz w:val="21"/>
          <w:shd w:val="clear" w:fill="auto"/>
        </w:rPr>
      </w:pPr>
      <w:r>
        <w:rPr>
          <w:rFonts w:hint="eastAsia" w:ascii="仿宋" w:hAnsi="仿宋" w:eastAsia="仿宋" w:cs="仿宋"/>
          <w:sz w:val="32"/>
          <w:szCs w:val="32"/>
        </w:rPr>
        <w:t>测试方法</w:t>
      </w:r>
      <w:r>
        <w:rPr>
          <w:rFonts w:hint="eastAsia" w:ascii="仿宋" w:hAnsi="仿宋" w:eastAsia="仿宋" w:cs="仿宋"/>
          <w:sz w:val="32"/>
          <w:szCs w:val="32"/>
          <w:lang w:val="en-US" w:eastAsia="zh-CN"/>
        </w:rPr>
        <w:t>与要求</w:t>
      </w:r>
      <w:r>
        <w:rPr>
          <w:rFonts w:hint="eastAsia" w:ascii="仿宋" w:hAnsi="仿宋" w:eastAsia="仿宋" w:cs="仿宋"/>
          <w:sz w:val="32"/>
          <w:szCs w:val="32"/>
        </w:rPr>
        <w:t>：将一支球拍放在底线中点后面，拍头指向球网，5个球的位置如图所示（见图1）。从底线中点开始，沿着逆时针方向依次取回5个球，将每次取回的球放在球拍拍面上。测试员喊‘预备-开始’之后，秒表计时开始，记录完成的时间。</w:t>
      </w:r>
    </w:p>
    <w:p w14:paraId="33580A63">
      <w:pPr>
        <w:spacing w:before="0" w:after="0" w:line="340" w:lineRule="auto"/>
        <w:ind w:left="0" w:right="0" w:firstLine="420"/>
        <w:jc w:val="center"/>
        <w:rPr>
          <w:rFonts w:ascii="宋体" w:hAnsi="宋体" w:eastAsia="宋体" w:cs="宋体"/>
          <w:color w:val="auto"/>
          <w:spacing w:val="0"/>
          <w:position w:val="0"/>
          <w:sz w:val="21"/>
          <w:shd w:val="clear" w:fill="auto"/>
        </w:rPr>
      </w:pPr>
      <w:r>
        <w:rPr>
          <w:rFonts w:hint="eastAsia" w:ascii="宋体" w:hAnsi="宋体" w:eastAsia="宋体" w:cs="宋体"/>
          <w:color w:val="auto"/>
          <w:spacing w:val="0"/>
          <w:position w:val="0"/>
          <w:sz w:val="21"/>
          <w:shd w:val="clear" w:fill="auto"/>
          <w:lang w:eastAsia="zh-CN"/>
        </w:rPr>
        <w:drawing>
          <wp:inline distT="0" distB="0" distL="114300" distR="114300">
            <wp:extent cx="2220595" cy="3380740"/>
            <wp:effectExtent l="0" t="0" r="10160" b="8255"/>
            <wp:docPr id="11" name="图片 1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图片1"/>
                    <pic:cNvPicPr>
                      <a:picLocks noChangeAspect="1"/>
                    </pic:cNvPicPr>
                  </pic:nvPicPr>
                  <pic:blipFill>
                    <a:blip r:embed="rId5"/>
                    <a:stretch>
                      <a:fillRect/>
                    </a:stretch>
                  </pic:blipFill>
                  <pic:spPr>
                    <a:xfrm rot="16200000">
                      <a:off x="0" y="0"/>
                      <a:ext cx="2220595" cy="3380740"/>
                    </a:xfrm>
                    <a:prstGeom prst="rect">
                      <a:avLst/>
                    </a:prstGeom>
                  </pic:spPr>
                </pic:pic>
              </a:graphicData>
            </a:graphic>
          </wp:inline>
        </w:drawing>
      </w:r>
    </w:p>
    <w:p w14:paraId="4AA91FD3">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成绩评定：</w:t>
      </w:r>
    </w:p>
    <w:tbl>
      <w:tblPr>
        <w:tblStyle w:val="5"/>
        <w:tblW w:w="0" w:type="auto"/>
        <w:tblInd w:w="0" w:type="dxa"/>
        <w:tblLayout w:type="fixed"/>
        <w:tblCellMar>
          <w:top w:w="0" w:type="dxa"/>
          <w:left w:w="10" w:type="dxa"/>
          <w:bottom w:w="0" w:type="dxa"/>
          <w:right w:w="10" w:type="dxa"/>
        </w:tblCellMar>
      </w:tblPr>
      <w:tblGrid>
        <w:gridCol w:w="1883"/>
        <w:gridCol w:w="1253"/>
        <w:gridCol w:w="1458"/>
        <w:gridCol w:w="1458"/>
        <w:gridCol w:w="1459"/>
        <w:gridCol w:w="1233"/>
      </w:tblGrid>
      <w:tr w14:paraId="4F233B81">
        <w:tblPrEx>
          <w:tblCellMar>
            <w:top w:w="0" w:type="dxa"/>
            <w:left w:w="10" w:type="dxa"/>
            <w:bottom w:w="0" w:type="dxa"/>
            <w:right w:w="10" w:type="dxa"/>
          </w:tblCellMar>
        </w:tblPrEx>
        <w:trPr>
          <w:trHeight w:val="1134" w:hRule="atLeast"/>
        </w:trPr>
        <w:tc>
          <w:tcPr>
            <w:tcW w:w="18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mc:AlternateContent>
              <mc:Choice Requires="wpsCustomData">
                <wpsCustomData:diagonals>
                  <wpsCustomData:diagonal from="10000" to="30000">
                    <wpsCustomData:border w:val="single" w:color="000000" w:sz="4" w:space="0"/>
                  </wpsCustomData:diagonal>
                </wpsCustomData:diagonals>
              </mc:Choice>
            </mc:AlternateContent>
          </w:tcPr>
          <w:p w14:paraId="16DAC4A4">
            <w:pPr>
              <w:snapToGrid w:val="0"/>
              <w:spacing w:line="560" w:lineRule="exact"/>
              <w:jc w:val="center"/>
              <w:rPr>
                <w:rFonts w:hint="default" w:ascii="仿宋" w:hAnsi="仿宋" w:eastAsia="仿宋" w:cs="仿宋"/>
                <w:sz w:val="24"/>
                <w:szCs w:val="24"/>
                <w:lang w:val="en-US" w:eastAsia="zh-CN"/>
              </w:rPr>
            </w:pPr>
          </w:p>
          <w:p w14:paraId="5F46E07B">
            <w:pPr>
              <w:snapToGrid w:val="0"/>
              <w:spacing w:line="5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项目（男）</w:t>
            </w:r>
          </w:p>
          <w:p w14:paraId="793A16A3">
            <w:pPr>
              <w:snapToGrid w:val="0"/>
              <w:spacing w:line="560" w:lineRule="exact"/>
              <w:jc w:val="center"/>
              <mc:AlternateContent>
                <mc:Choice Requires="wpsCustomData">
                  <wpsCustomData:diagonalParaType/>
                </mc:Choice>
              </mc:AlternateContent>
              <w:rPr>
                <w:rFonts w:hint="eastAsia" w:ascii="仿宋" w:hAnsi="仿宋" w:eastAsia="仿宋" w:cs="仿宋"/>
                <w:sz w:val="24"/>
                <w:szCs w:val="24"/>
                <w:lang w:val="en-US" w:eastAsia="zh-CN"/>
              </w:rPr>
            </w:pPr>
          </w:p>
          <w:p w14:paraId="71858532">
            <w:pPr>
              <w:spacing w:line="5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分数</w:t>
            </w:r>
          </w:p>
        </w:tc>
        <w:tc>
          <w:tcPr>
            <w:tcW w:w="125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E58C9F">
            <w:pPr>
              <w:spacing w:line="560" w:lineRule="exact"/>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15</w:t>
            </w:r>
          </w:p>
        </w:tc>
        <w:tc>
          <w:tcPr>
            <w:tcW w:w="145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67845D">
            <w:pPr>
              <w:spacing w:line="560" w:lineRule="exact"/>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12</w:t>
            </w:r>
          </w:p>
        </w:tc>
        <w:tc>
          <w:tcPr>
            <w:tcW w:w="145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3E5B3B">
            <w:pPr>
              <w:spacing w:line="56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9</w:t>
            </w:r>
          </w:p>
        </w:tc>
        <w:tc>
          <w:tcPr>
            <w:tcW w:w="14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0BD53D">
            <w:pPr>
              <w:spacing w:line="56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6</w:t>
            </w:r>
          </w:p>
        </w:tc>
        <w:tc>
          <w:tcPr>
            <w:tcW w:w="12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11AA28">
            <w:pPr>
              <w:spacing w:line="56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3</w:t>
            </w:r>
          </w:p>
        </w:tc>
      </w:tr>
      <w:tr w14:paraId="701F3F77">
        <w:tblPrEx>
          <w:tblCellMar>
            <w:top w:w="0" w:type="dxa"/>
            <w:left w:w="10" w:type="dxa"/>
            <w:bottom w:w="0" w:type="dxa"/>
            <w:right w:w="10" w:type="dxa"/>
          </w:tblCellMar>
        </w:tblPrEx>
        <w:trPr>
          <w:trHeight w:val="1" w:hRule="atLeast"/>
        </w:trPr>
        <w:tc>
          <w:tcPr>
            <w:tcW w:w="18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5F4E3E">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一分钟跳绳</w:t>
            </w:r>
          </w:p>
          <w:p w14:paraId="4EBD250F">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单飞（个）</w:t>
            </w:r>
          </w:p>
        </w:tc>
        <w:tc>
          <w:tcPr>
            <w:tcW w:w="125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42CE14">
            <w:pPr>
              <w:spacing w:line="5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190以上</w:t>
            </w:r>
          </w:p>
        </w:tc>
        <w:tc>
          <w:tcPr>
            <w:tcW w:w="145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BB2728">
            <w:pPr>
              <w:spacing w:line="5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189～180</w:t>
            </w:r>
          </w:p>
        </w:tc>
        <w:tc>
          <w:tcPr>
            <w:tcW w:w="145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B75DEF">
            <w:pPr>
              <w:spacing w:line="5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179～170</w:t>
            </w:r>
          </w:p>
        </w:tc>
        <w:tc>
          <w:tcPr>
            <w:tcW w:w="14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6A85E9">
            <w:pPr>
              <w:spacing w:line="5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169～160</w:t>
            </w:r>
          </w:p>
        </w:tc>
        <w:tc>
          <w:tcPr>
            <w:tcW w:w="12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601AB4">
            <w:pPr>
              <w:spacing w:line="5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159以下</w:t>
            </w:r>
          </w:p>
        </w:tc>
      </w:tr>
      <w:tr w14:paraId="03222145">
        <w:tblPrEx>
          <w:tblCellMar>
            <w:top w:w="0" w:type="dxa"/>
            <w:left w:w="10" w:type="dxa"/>
            <w:bottom w:w="0" w:type="dxa"/>
            <w:right w:w="10" w:type="dxa"/>
          </w:tblCellMar>
        </w:tblPrEx>
        <w:trPr>
          <w:trHeight w:val="1" w:hRule="atLeast"/>
        </w:trPr>
        <w:tc>
          <w:tcPr>
            <w:tcW w:w="18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630598">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扇形跑（秒）</w:t>
            </w:r>
          </w:p>
        </w:tc>
        <w:tc>
          <w:tcPr>
            <w:tcW w:w="125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F9691E">
            <w:pPr>
              <w:spacing w:line="5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19秒以内</w:t>
            </w:r>
          </w:p>
        </w:tc>
        <w:tc>
          <w:tcPr>
            <w:tcW w:w="145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AF4CE9">
            <w:pPr>
              <w:spacing w:line="5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19.1～20秒</w:t>
            </w:r>
          </w:p>
        </w:tc>
        <w:tc>
          <w:tcPr>
            <w:tcW w:w="145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2FC3B4">
            <w:pPr>
              <w:spacing w:line="5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20.1～21秒</w:t>
            </w:r>
          </w:p>
        </w:tc>
        <w:tc>
          <w:tcPr>
            <w:tcW w:w="14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27B0D5">
            <w:pPr>
              <w:spacing w:line="5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21.1～22秒</w:t>
            </w:r>
          </w:p>
        </w:tc>
        <w:tc>
          <w:tcPr>
            <w:tcW w:w="12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B7A3CF">
            <w:pPr>
              <w:spacing w:line="5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22秒以上</w:t>
            </w:r>
          </w:p>
        </w:tc>
      </w:tr>
    </w:tbl>
    <w:p w14:paraId="04750D7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sz w:val="18"/>
          <w:szCs w:val="18"/>
        </w:rPr>
      </w:pPr>
    </w:p>
    <w:tbl>
      <w:tblPr>
        <w:tblStyle w:val="5"/>
        <w:tblW w:w="0" w:type="auto"/>
        <w:tblInd w:w="0" w:type="dxa"/>
        <w:tblLayout w:type="fixed"/>
        <w:tblCellMar>
          <w:top w:w="0" w:type="dxa"/>
          <w:left w:w="10" w:type="dxa"/>
          <w:bottom w:w="0" w:type="dxa"/>
          <w:right w:w="10" w:type="dxa"/>
        </w:tblCellMar>
      </w:tblPr>
      <w:tblGrid>
        <w:gridCol w:w="1883"/>
        <w:gridCol w:w="1273"/>
        <w:gridCol w:w="1451"/>
        <w:gridCol w:w="1451"/>
        <w:gridCol w:w="1453"/>
        <w:gridCol w:w="1233"/>
      </w:tblGrid>
      <w:tr w14:paraId="221A5C39">
        <w:tblPrEx>
          <w:tblCellMar>
            <w:top w:w="0" w:type="dxa"/>
            <w:left w:w="10" w:type="dxa"/>
            <w:bottom w:w="0" w:type="dxa"/>
            <w:right w:w="10" w:type="dxa"/>
          </w:tblCellMar>
        </w:tblPrEx>
        <w:trPr>
          <w:trHeight w:val="1134" w:hRule="atLeast"/>
        </w:trPr>
        <w:tc>
          <w:tcPr>
            <w:tcW w:w="18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mc:AlternateContent>
              <mc:Choice Requires="wpsCustomData">
                <wpsCustomData:diagonals>
                  <wpsCustomData:diagonal from="10000" to="30000">
                    <wpsCustomData:border w:val="single" w:color="000000" w:sz="4" w:space="0"/>
                  </wpsCustomData:diagonal>
                </wpsCustomData:diagonals>
              </mc:Choice>
            </mc:AlternateContent>
          </w:tcPr>
          <w:p w14:paraId="3F13568F">
            <w:pPr>
              <w:snapToGrid w:val="0"/>
              <w:spacing w:line="560" w:lineRule="exact"/>
              <w:jc w:val="center"/>
              <w:rPr>
                <w:rFonts w:hint="default" w:ascii="仿宋" w:hAnsi="仿宋" w:eastAsia="仿宋" w:cs="仿宋"/>
                <w:sz w:val="24"/>
                <w:szCs w:val="24"/>
                <w:lang w:val="en-US" w:eastAsia="zh-CN"/>
              </w:rPr>
            </w:pPr>
          </w:p>
          <w:p w14:paraId="4121F420">
            <w:pPr>
              <w:snapToGrid w:val="0"/>
              <w:spacing w:line="5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项目（女）</w:t>
            </w:r>
          </w:p>
          <w:p w14:paraId="0F262F68">
            <w:pPr>
              <w:snapToGrid w:val="0"/>
              <w:spacing w:line="560" w:lineRule="exact"/>
              <w:jc w:val="center"/>
              <mc:AlternateContent>
                <mc:Choice Requires="wpsCustomData">
                  <wpsCustomData:diagonalParaType/>
                </mc:Choice>
              </mc:AlternateContent>
              <w:rPr>
                <w:rFonts w:hint="eastAsia" w:ascii="仿宋" w:hAnsi="仿宋" w:eastAsia="仿宋" w:cs="仿宋"/>
                <w:sz w:val="24"/>
                <w:szCs w:val="24"/>
                <w:lang w:val="en-US" w:eastAsia="zh-CN"/>
              </w:rPr>
            </w:pPr>
          </w:p>
          <w:p w14:paraId="4E29D1DA">
            <w:pPr>
              <w:spacing w:line="5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分数</w:t>
            </w:r>
          </w:p>
        </w:tc>
        <w:tc>
          <w:tcPr>
            <w:tcW w:w="12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CB1196">
            <w:pPr>
              <w:spacing w:line="560" w:lineRule="exact"/>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15</w:t>
            </w:r>
          </w:p>
        </w:tc>
        <w:tc>
          <w:tcPr>
            <w:tcW w:w="145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20A4CB">
            <w:pPr>
              <w:spacing w:line="560" w:lineRule="exact"/>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12</w:t>
            </w:r>
          </w:p>
        </w:tc>
        <w:tc>
          <w:tcPr>
            <w:tcW w:w="145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2919FA">
            <w:pPr>
              <w:spacing w:line="56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9</w:t>
            </w:r>
          </w:p>
        </w:tc>
        <w:tc>
          <w:tcPr>
            <w:tcW w:w="145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7CFE98">
            <w:pPr>
              <w:spacing w:line="56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6</w:t>
            </w:r>
          </w:p>
        </w:tc>
        <w:tc>
          <w:tcPr>
            <w:tcW w:w="12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5D76E2">
            <w:pPr>
              <w:spacing w:line="56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3</w:t>
            </w:r>
          </w:p>
        </w:tc>
      </w:tr>
      <w:tr w14:paraId="0288D7E9">
        <w:tblPrEx>
          <w:tblCellMar>
            <w:top w:w="0" w:type="dxa"/>
            <w:left w:w="10" w:type="dxa"/>
            <w:bottom w:w="0" w:type="dxa"/>
            <w:right w:w="10" w:type="dxa"/>
          </w:tblCellMar>
        </w:tblPrEx>
        <w:trPr>
          <w:trHeight w:val="1" w:hRule="atLeast"/>
        </w:trPr>
        <w:tc>
          <w:tcPr>
            <w:tcW w:w="18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17CA61">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一分钟跳绳</w:t>
            </w:r>
          </w:p>
          <w:p w14:paraId="11C9D53A">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单飞（个）</w:t>
            </w:r>
          </w:p>
        </w:tc>
        <w:tc>
          <w:tcPr>
            <w:tcW w:w="12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86F092">
            <w:pPr>
              <w:spacing w:line="5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180以上</w:t>
            </w:r>
          </w:p>
        </w:tc>
        <w:tc>
          <w:tcPr>
            <w:tcW w:w="145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E9DCBF">
            <w:pPr>
              <w:spacing w:line="5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179～170</w:t>
            </w:r>
          </w:p>
        </w:tc>
        <w:tc>
          <w:tcPr>
            <w:tcW w:w="145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0F2FE8">
            <w:pPr>
              <w:spacing w:line="5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169～160</w:t>
            </w:r>
          </w:p>
        </w:tc>
        <w:tc>
          <w:tcPr>
            <w:tcW w:w="145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EACE5B">
            <w:pPr>
              <w:spacing w:line="5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159～150</w:t>
            </w:r>
          </w:p>
        </w:tc>
        <w:tc>
          <w:tcPr>
            <w:tcW w:w="12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9B06D9">
            <w:pPr>
              <w:spacing w:line="5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149以下</w:t>
            </w:r>
          </w:p>
        </w:tc>
      </w:tr>
      <w:tr w14:paraId="29FE0C98">
        <w:tblPrEx>
          <w:tblCellMar>
            <w:top w:w="0" w:type="dxa"/>
            <w:left w:w="10" w:type="dxa"/>
            <w:bottom w:w="0" w:type="dxa"/>
            <w:right w:w="10" w:type="dxa"/>
          </w:tblCellMar>
        </w:tblPrEx>
        <w:trPr>
          <w:trHeight w:val="1" w:hRule="atLeast"/>
        </w:trPr>
        <w:tc>
          <w:tcPr>
            <w:tcW w:w="18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66CE67">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扇形跑（秒）</w:t>
            </w:r>
          </w:p>
        </w:tc>
        <w:tc>
          <w:tcPr>
            <w:tcW w:w="12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A33B533">
            <w:pPr>
              <w:spacing w:line="5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21秒以内</w:t>
            </w:r>
          </w:p>
        </w:tc>
        <w:tc>
          <w:tcPr>
            <w:tcW w:w="145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4EC4A07">
            <w:pPr>
              <w:spacing w:line="5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21.1～22秒</w:t>
            </w:r>
          </w:p>
        </w:tc>
        <w:tc>
          <w:tcPr>
            <w:tcW w:w="145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6CE23E9">
            <w:pPr>
              <w:spacing w:line="5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22.1～23秒</w:t>
            </w:r>
          </w:p>
        </w:tc>
        <w:tc>
          <w:tcPr>
            <w:tcW w:w="145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F549828">
            <w:pPr>
              <w:spacing w:line="5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23.1～24秒</w:t>
            </w:r>
          </w:p>
        </w:tc>
        <w:tc>
          <w:tcPr>
            <w:tcW w:w="12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843A1CF">
            <w:pPr>
              <w:spacing w:line="5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24秒以上</w:t>
            </w:r>
          </w:p>
        </w:tc>
      </w:tr>
    </w:tbl>
    <w:p w14:paraId="1D05DA04">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（二）基本技术评定方法与评分标准</w:t>
      </w:r>
    </w:p>
    <w:p w14:paraId="3616F092">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底线正反手打多球（20分）</w:t>
      </w:r>
    </w:p>
    <w:p w14:paraId="719B22DB">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测试方法与要求：被测试者站在底线位置正手反手各打5个球，打进指定区域。（发球线后）。</w:t>
      </w:r>
    </w:p>
    <w:p w14:paraId="3DEA67B1">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发球（20分）</w:t>
      </w:r>
    </w:p>
    <w:p w14:paraId="4FF994A4">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测试</w:t>
      </w:r>
      <w:r>
        <w:rPr>
          <w:rFonts w:hint="eastAsia" w:ascii="仿宋" w:hAnsi="仿宋" w:eastAsia="仿宋" w:cs="仿宋"/>
          <w:sz w:val="32"/>
          <w:szCs w:val="32"/>
        </w:rPr>
        <w:t>方法与要求:站在两个发球区发球，每个区连续发5个球。</w:t>
      </w:r>
    </w:p>
    <w:p w14:paraId="05DE1CFE">
      <w:pPr>
        <w:spacing w:line="56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val="en-US" w:eastAsia="zh-CN"/>
        </w:rPr>
        <w:t>3.成绩评定：</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2"/>
        <w:gridCol w:w="740"/>
        <w:gridCol w:w="740"/>
        <w:gridCol w:w="740"/>
        <w:gridCol w:w="740"/>
        <w:gridCol w:w="740"/>
        <w:gridCol w:w="740"/>
        <w:gridCol w:w="740"/>
        <w:gridCol w:w="740"/>
        <w:gridCol w:w="740"/>
        <w:gridCol w:w="742"/>
      </w:tblGrid>
      <w:tr w14:paraId="416CD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1342" w:type="dxa"/>
            <w:vAlign w:val="center"/>
          </w:tcPr>
          <w:p w14:paraId="09C67160">
            <w:pPr>
              <w:spacing w:line="5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进区域</w:t>
            </w:r>
          </w:p>
          <w:p w14:paraId="0A16036A">
            <w:pPr>
              <w:spacing w:line="5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（个数）</w:t>
            </w:r>
          </w:p>
        </w:tc>
        <w:tc>
          <w:tcPr>
            <w:tcW w:w="740" w:type="dxa"/>
            <w:vAlign w:val="center"/>
          </w:tcPr>
          <w:p w14:paraId="3D87C532">
            <w:pPr>
              <w:spacing w:line="560" w:lineRule="exact"/>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10</w:t>
            </w:r>
          </w:p>
        </w:tc>
        <w:tc>
          <w:tcPr>
            <w:tcW w:w="740" w:type="dxa"/>
            <w:vAlign w:val="center"/>
          </w:tcPr>
          <w:p w14:paraId="61CC9029">
            <w:pPr>
              <w:spacing w:line="5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w:t>
            </w:r>
          </w:p>
        </w:tc>
        <w:tc>
          <w:tcPr>
            <w:tcW w:w="740" w:type="dxa"/>
            <w:vAlign w:val="center"/>
          </w:tcPr>
          <w:p w14:paraId="6DA1C494">
            <w:pPr>
              <w:spacing w:line="5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w:t>
            </w:r>
          </w:p>
        </w:tc>
        <w:tc>
          <w:tcPr>
            <w:tcW w:w="740" w:type="dxa"/>
            <w:vAlign w:val="center"/>
          </w:tcPr>
          <w:p w14:paraId="0F058881">
            <w:pPr>
              <w:spacing w:line="5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w:t>
            </w:r>
          </w:p>
        </w:tc>
        <w:tc>
          <w:tcPr>
            <w:tcW w:w="740" w:type="dxa"/>
            <w:vAlign w:val="center"/>
          </w:tcPr>
          <w:p w14:paraId="704B5FF7">
            <w:pPr>
              <w:spacing w:line="5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w:t>
            </w:r>
          </w:p>
        </w:tc>
        <w:tc>
          <w:tcPr>
            <w:tcW w:w="740" w:type="dxa"/>
            <w:vAlign w:val="center"/>
          </w:tcPr>
          <w:p w14:paraId="6F9ED285">
            <w:pPr>
              <w:spacing w:line="5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w:t>
            </w:r>
          </w:p>
        </w:tc>
        <w:tc>
          <w:tcPr>
            <w:tcW w:w="740" w:type="dxa"/>
            <w:vAlign w:val="center"/>
          </w:tcPr>
          <w:p w14:paraId="363E5975">
            <w:pPr>
              <w:spacing w:line="5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w:t>
            </w:r>
          </w:p>
        </w:tc>
        <w:tc>
          <w:tcPr>
            <w:tcW w:w="740" w:type="dxa"/>
            <w:vAlign w:val="center"/>
          </w:tcPr>
          <w:p w14:paraId="7DB48934">
            <w:pPr>
              <w:spacing w:line="5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w:t>
            </w:r>
          </w:p>
        </w:tc>
        <w:tc>
          <w:tcPr>
            <w:tcW w:w="740" w:type="dxa"/>
            <w:vAlign w:val="center"/>
          </w:tcPr>
          <w:p w14:paraId="03D11A1F">
            <w:pPr>
              <w:spacing w:line="5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742" w:type="dxa"/>
            <w:vAlign w:val="center"/>
          </w:tcPr>
          <w:p w14:paraId="2984709D">
            <w:pPr>
              <w:spacing w:line="5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p>
        </w:tc>
      </w:tr>
      <w:tr w14:paraId="2979C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2" w:type="dxa"/>
            <w:vAlign w:val="center"/>
          </w:tcPr>
          <w:p w14:paraId="21EF4A6F">
            <w:pPr>
              <w:spacing w:line="5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得分</w:t>
            </w:r>
          </w:p>
        </w:tc>
        <w:tc>
          <w:tcPr>
            <w:tcW w:w="740" w:type="dxa"/>
            <w:vAlign w:val="center"/>
          </w:tcPr>
          <w:p w14:paraId="1E0DC012">
            <w:pPr>
              <w:spacing w:line="560" w:lineRule="exact"/>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20</w:t>
            </w:r>
          </w:p>
        </w:tc>
        <w:tc>
          <w:tcPr>
            <w:tcW w:w="740" w:type="dxa"/>
            <w:vAlign w:val="center"/>
          </w:tcPr>
          <w:p w14:paraId="5E7570F3">
            <w:pPr>
              <w:spacing w:line="560" w:lineRule="exact"/>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18</w:t>
            </w:r>
          </w:p>
        </w:tc>
        <w:tc>
          <w:tcPr>
            <w:tcW w:w="740" w:type="dxa"/>
            <w:vAlign w:val="center"/>
          </w:tcPr>
          <w:p w14:paraId="7A653FE9">
            <w:pPr>
              <w:spacing w:line="560" w:lineRule="exact"/>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16</w:t>
            </w:r>
          </w:p>
        </w:tc>
        <w:tc>
          <w:tcPr>
            <w:tcW w:w="740" w:type="dxa"/>
            <w:vAlign w:val="center"/>
          </w:tcPr>
          <w:p w14:paraId="5E9671B7">
            <w:pPr>
              <w:spacing w:line="560" w:lineRule="exact"/>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14</w:t>
            </w:r>
          </w:p>
        </w:tc>
        <w:tc>
          <w:tcPr>
            <w:tcW w:w="740" w:type="dxa"/>
            <w:vAlign w:val="center"/>
          </w:tcPr>
          <w:p w14:paraId="045CADBC">
            <w:pPr>
              <w:spacing w:line="560" w:lineRule="exact"/>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12</w:t>
            </w:r>
          </w:p>
        </w:tc>
        <w:tc>
          <w:tcPr>
            <w:tcW w:w="740" w:type="dxa"/>
            <w:vAlign w:val="center"/>
          </w:tcPr>
          <w:p w14:paraId="2ED118E9">
            <w:pPr>
              <w:spacing w:line="560" w:lineRule="exact"/>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10</w:t>
            </w:r>
          </w:p>
        </w:tc>
        <w:tc>
          <w:tcPr>
            <w:tcW w:w="740" w:type="dxa"/>
            <w:vAlign w:val="center"/>
          </w:tcPr>
          <w:p w14:paraId="0BB8366D">
            <w:pPr>
              <w:spacing w:line="5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w:t>
            </w:r>
          </w:p>
        </w:tc>
        <w:tc>
          <w:tcPr>
            <w:tcW w:w="740" w:type="dxa"/>
            <w:vAlign w:val="center"/>
          </w:tcPr>
          <w:p w14:paraId="606E0B09">
            <w:pPr>
              <w:spacing w:line="5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w:t>
            </w:r>
          </w:p>
        </w:tc>
        <w:tc>
          <w:tcPr>
            <w:tcW w:w="740" w:type="dxa"/>
            <w:vAlign w:val="center"/>
          </w:tcPr>
          <w:p w14:paraId="26C361D4">
            <w:pPr>
              <w:spacing w:line="5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w:t>
            </w:r>
          </w:p>
        </w:tc>
        <w:tc>
          <w:tcPr>
            <w:tcW w:w="742" w:type="dxa"/>
            <w:vAlign w:val="center"/>
          </w:tcPr>
          <w:p w14:paraId="0CA4495D">
            <w:pPr>
              <w:spacing w:line="5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r>
    </w:tbl>
    <w:p w14:paraId="5814FFD2">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(三)综合技术的评分标准与要求（30分）（对打）</w:t>
      </w:r>
    </w:p>
    <w:p w14:paraId="0E4D1BF7">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1.测试</w:t>
      </w:r>
      <w:r>
        <w:rPr>
          <w:rFonts w:hint="eastAsia" w:ascii="仿宋" w:hAnsi="仿宋" w:eastAsia="仿宋" w:cs="仿宋"/>
          <w:sz w:val="32"/>
          <w:szCs w:val="32"/>
        </w:rPr>
        <w:t>方法与要求：运动员二人进行正反手斜线的对打练习。要求测试者在对打中把所掌握的基本技术充分体现出来。如：底线上旋球、底线平击球、半场球进攻等技术的运用。</w:t>
      </w:r>
    </w:p>
    <w:p w14:paraId="18EFF6D1">
      <w:pPr>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2.成绩评定</w:t>
      </w:r>
    </w:p>
    <w:tbl>
      <w:tblPr>
        <w:tblStyle w:val="5"/>
        <w:tblW w:w="0" w:type="auto"/>
        <w:tblInd w:w="0" w:type="dxa"/>
        <w:tblLayout w:type="autofit"/>
        <w:tblCellMar>
          <w:top w:w="0" w:type="dxa"/>
          <w:left w:w="10" w:type="dxa"/>
          <w:bottom w:w="0" w:type="dxa"/>
          <w:right w:w="10" w:type="dxa"/>
        </w:tblCellMar>
      </w:tblPr>
      <w:tblGrid>
        <w:gridCol w:w="1627"/>
        <w:gridCol w:w="1807"/>
        <w:gridCol w:w="1943"/>
        <w:gridCol w:w="1739"/>
        <w:gridCol w:w="1740"/>
      </w:tblGrid>
      <w:tr w14:paraId="64D9E71F">
        <w:tblPrEx>
          <w:tblCellMar>
            <w:top w:w="0" w:type="dxa"/>
            <w:left w:w="10" w:type="dxa"/>
            <w:bottom w:w="0" w:type="dxa"/>
            <w:right w:w="10" w:type="dxa"/>
          </w:tblCellMar>
        </w:tblPrEx>
        <w:trPr>
          <w:trHeight w:val="1134" w:hRule="atLeast"/>
        </w:trPr>
        <w:tc>
          <w:tcPr>
            <w:tcW w:w="162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mc:AlternateContent>
              <mc:Choice Requires="wpsCustomData">
                <wpsCustomData:diagonals>
                  <wpsCustomData:diagonal from="10000" to="30000">
                    <wpsCustomData:border w:val="single" w:color="000000" w:sz="4" w:space="0"/>
                  </wpsCustomData:diagonal>
                </wpsCustomData:diagonals>
              </mc:Choice>
            </mc:AlternateContent>
          </w:tcPr>
          <w:p w14:paraId="5C9FA8BE">
            <w:pPr>
              <w:spacing w:line="560" w:lineRule="exact"/>
              <w:jc w:val="center"/>
              <w:rPr>
                <w:rFonts w:hint="eastAsia" w:ascii="仿宋" w:hAnsi="仿宋" w:eastAsia="仿宋" w:cs="仿宋"/>
                <w:sz w:val="24"/>
                <w:szCs w:val="24"/>
              </w:rPr>
            </w:pPr>
          </w:p>
          <w:p w14:paraId="7E7E2527">
            <w:pPr>
              <w:snapToGrid w:val="0"/>
              <w:spacing w:line="560" w:lineRule="exact"/>
              <w:jc w:val="center"/>
              <mc:AlternateContent>
                <mc:Choice Requires="wpsCustomData">
                  <wpsCustomData:diagonalParaType/>
                </mc:Choice>
              </mc:AlternateContent>
              <w:rPr>
                <w:rFonts w:hint="eastAsia" w:ascii="仿宋" w:hAnsi="仿宋" w:eastAsia="仿宋" w:cs="仿宋"/>
                <w:sz w:val="24"/>
                <w:szCs w:val="24"/>
              </w:rPr>
            </w:pPr>
            <w:r>
              <w:rPr>
                <w:rFonts w:hint="eastAsia" w:ascii="仿宋" w:hAnsi="仿宋" w:eastAsia="仿宋" w:cs="仿宋"/>
                <w:sz w:val="24"/>
                <w:szCs w:val="24"/>
              </w:rPr>
              <w:t>项目</w:t>
            </w:r>
          </w:p>
          <w:p w14:paraId="48CAD278">
            <w:pPr>
              <w:spacing w:line="5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分值</w:t>
            </w:r>
          </w:p>
        </w:tc>
        <w:tc>
          <w:tcPr>
            <w:tcW w:w="18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1F40A4">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30</w:t>
            </w:r>
          </w:p>
        </w:tc>
        <w:tc>
          <w:tcPr>
            <w:tcW w:w="19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FA664B">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20</w:t>
            </w:r>
          </w:p>
        </w:tc>
        <w:tc>
          <w:tcPr>
            <w:tcW w:w="17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AF0569">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10</w:t>
            </w:r>
          </w:p>
        </w:tc>
        <w:tc>
          <w:tcPr>
            <w:tcW w:w="17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0D8CA8">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5</w:t>
            </w:r>
          </w:p>
        </w:tc>
      </w:tr>
      <w:tr w14:paraId="538FEDF4">
        <w:tblPrEx>
          <w:tblCellMar>
            <w:top w:w="0" w:type="dxa"/>
            <w:left w:w="10" w:type="dxa"/>
            <w:bottom w:w="0" w:type="dxa"/>
            <w:right w:w="10" w:type="dxa"/>
          </w:tblCellMar>
        </w:tblPrEx>
        <w:trPr>
          <w:trHeight w:val="1" w:hRule="atLeast"/>
        </w:trPr>
        <w:tc>
          <w:tcPr>
            <w:tcW w:w="162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2EE22B">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综合技术的运用</w:t>
            </w:r>
          </w:p>
        </w:tc>
        <w:tc>
          <w:tcPr>
            <w:tcW w:w="18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F6DBAA">
            <w:pPr>
              <w:spacing w:line="560" w:lineRule="exact"/>
              <w:jc w:val="both"/>
              <w:rPr>
                <w:rFonts w:hint="eastAsia" w:ascii="仿宋" w:hAnsi="仿宋" w:eastAsia="仿宋" w:cs="仿宋"/>
                <w:sz w:val="24"/>
                <w:szCs w:val="24"/>
              </w:rPr>
            </w:pPr>
            <w:r>
              <w:rPr>
                <w:rFonts w:hint="eastAsia" w:ascii="仿宋" w:hAnsi="仿宋" w:eastAsia="仿宋" w:cs="仿宋"/>
                <w:sz w:val="24"/>
                <w:szCs w:val="24"/>
              </w:rPr>
              <w:t>击球动作连贯、流畅、完整，发力顺序正确，落点准确、稳定。</w:t>
            </w:r>
          </w:p>
        </w:tc>
        <w:tc>
          <w:tcPr>
            <w:tcW w:w="19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B12921">
            <w:pPr>
              <w:spacing w:line="560" w:lineRule="exact"/>
              <w:jc w:val="both"/>
              <w:rPr>
                <w:rFonts w:hint="eastAsia" w:ascii="仿宋" w:hAnsi="仿宋" w:eastAsia="仿宋" w:cs="仿宋"/>
                <w:sz w:val="24"/>
                <w:szCs w:val="24"/>
              </w:rPr>
            </w:pPr>
            <w:r>
              <w:rPr>
                <w:rFonts w:hint="eastAsia" w:ascii="仿宋" w:hAnsi="仿宋" w:eastAsia="仿宋" w:cs="仿宋"/>
                <w:sz w:val="24"/>
                <w:szCs w:val="24"/>
              </w:rPr>
              <w:t>击球动作较连贯、流畅、完整，发力顺序基本正确，落点较稳定。</w:t>
            </w:r>
          </w:p>
        </w:tc>
        <w:tc>
          <w:tcPr>
            <w:tcW w:w="17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44AFEE">
            <w:pPr>
              <w:spacing w:line="560" w:lineRule="exact"/>
              <w:jc w:val="both"/>
              <w:rPr>
                <w:rFonts w:hint="eastAsia" w:ascii="仿宋" w:hAnsi="仿宋" w:eastAsia="仿宋" w:cs="仿宋"/>
                <w:sz w:val="24"/>
                <w:szCs w:val="24"/>
              </w:rPr>
            </w:pPr>
            <w:r>
              <w:rPr>
                <w:rFonts w:hint="eastAsia" w:ascii="仿宋" w:hAnsi="仿宋" w:eastAsia="仿宋" w:cs="仿宋"/>
                <w:sz w:val="24"/>
                <w:szCs w:val="24"/>
              </w:rPr>
              <w:t>击球动作基本连贯、动作生硬，协调性差，落点一般。</w:t>
            </w:r>
          </w:p>
        </w:tc>
        <w:tc>
          <w:tcPr>
            <w:tcW w:w="17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739625">
            <w:pPr>
              <w:spacing w:line="560" w:lineRule="exact"/>
              <w:jc w:val="both"/>
              <w:rPr>
                <w:rFonts w:hint="eastAsia" w:ascii="仿宋" w:hAnsi="仿宋" w:eastAsia="仿宋" w:cs="仿宋"/>
                <w:sz w:val="24"/>
                <w:szCs w:val="24"/>
              </w:rPr>
            </w:pPr>
            <w:r>
              <w:rPr>
                <w:rFonts w:hint="eastAsia" w:ascii="仿宋" w:hAnsi="仿宋" w:eastAsia="仿宋" w:cs="仿宋"/>
                <w:sz w:val="24"/>
                <w:szCs w:val="24"/>
              </w:rPr>
              <w:t>击球动作不正确，不连贯，落点差，失误多。</w:t>
            </w:r>
          </w:p>
        </w:tc>
      </w:tr>
    </w:tbl>
    <w:p w14:paraId="0336D6E8">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三</w:t>
      </w:r>
      <w:r>
        <w:rPr>
          <w:rFonts w:hint="eastAsia" w:ascii="黑体" w:hAnsi="黑体" w:eastAsia="黑体" w:cs="黑体"/>
          <w:sz w:val="32"/>
          <w:szCs w:val="32"/>
          <w:lang w:eastAsia="zh-CN"/>
        </w:rPr>
        <w:t>、</w:t>
      </w:r>
      <w:r>
        <w:rPr>
          <w:rFonts w:hint="eastAsia" w:ascii="黑体" w:hAnsi="黑体" w:eastAsia="黑体" w:cs="黑体"/>
          <w:sz w:val="32"/>
          <w:szCs w:val="32"/>
        </w:rPr>
        <w:t>成绩评定总体要求</w:t>
      </w:r>
    </w:p>
    <w:p w14:paraId="7E779858">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技术考核只考一次，素质考两次取最好成绩。计算各单项测试得分后，累计总分。</w:t>
      </w:r>
    </w:p>
    <w:p w14:paraId="3D5A33A3">
      <w:pPr>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2.若考生考试总成绩相同，按以下优先级依次对比单项分值确定排名顺序：</w:t>
      </w:r>
    </w:p>
    <w:p w14:paraId="4A1B4093">
      <w:pPr>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综合技术分值：分值较高者排名靠前；</w:t>
      </w:r>
    </w:p>
    <w:p w14:paraId="49544F06">
      <w:pPr>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基本技术分值：若综合技术分值相同，分值较高者排名靠前；</w:t>
      </w:r>
    </w:p>
    <w:p w14:paraId="20186D92">
      <w:pPr>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身体素质分值：若前两项分值均相同，分值较高者排名靠前。</w:t>
      </w:r>
    </w:p>
    <w:p w14:paraId="20CEF3E3">
      <w:pPr>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若三项分值完全一致，可视为并列排名，或根据招生工作小组制定的附加规则（如平时训练表现、临场发挥评分等）进一步区分。</w:t>
      </w:r>
    </w:p>
    <w:p w14:paraId="77463F0C">
      <w:pPr>
        <w:spacing w:line="560" w:lineRule="exact"/>
        <w:rPr>
          <w:rFonts w:hint="default" w:ascii="仿宋" w:hAnsi="仿宋" w:eastAsia="仿宋" w:cs="仿宋"/>
          <w:sz w:val="32"/>
          <w:szCs w:val="32"/>
          <w:lang w:val="en-US" w:eastAsia="zh-CN"/>
        </w:rPr>
      </w:pPr>
    </w:p>
    <w:sectPr>
      <w:pgSz w:w="11906" w:h="16838"/>
      <w:pgMar w:top="1213" w:right="1519" w:bottom="1213" w:left="151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FE005ED-13C4-43A5-AFE5-1D9939A15C5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标宋简体">
    <w:panose1 w:val="02000000000000000000"/>
    <w:charset w:val="86"/>
    <w:family w:val="auto"/>
    <w:pitch w:val="default"/>
    <w:sig w:usb0="A00002BF" w:usb1="184F6CFA" w:usb2="00000012" w:usb3="00000000" w:csb0="00040001" w:csb1="00000000"/>
    <w:embedRegular r:id="rId2" w:fontKey="{7A987C11-6652-4FF8-985D-2523543D156B}"/>
  </w:font>
  <w:font w:name="方正楷体_GBK">
    <w:panose1 w:val="03000509000000000000"/>
    <w:charset w:val="86"/>
    <w:family w:val="auto"/>
    <w:pitch w:val="default"/>
    <w:sig w:usb0="00000001" w:usb1="080E0000" w:usb2="00000000" w:usb3="00000000" w:csb0="00040000" w:csb1="00000000"/>
    <w:embedRegular r:id="rId3" w:fontKey="{C45D4824-1477-48B0-B6F9-64B24294452A}"/>
  </w:font>
  <w:font w:name="仿宋">
    <w:panose1 w:val="02010609060101010101"/>
    <w:charset w:val="86"/>
    <w:family w:val="modern"/>
    <w:pitch w:val="default"/>
    <w:sig w:usb0="800002BF" w:usb1="38CF7CFA" w:usb2="00000016" w:usb3="00000000" w:csb0="00040001" w:csb1="00000000"/>
    <w:embedRegular r:id="rId4" w:fontKey="{560F215F-B07B-4CBE-A182-5B76CEE999F0}"/>
  </w:font>
  <w:font w:name="仿宋_GB2312">
    <w:panose1 w:val="02010609030101010101"/>
    <w:charset w:val="86"/>
    <w:family w:val="modern"/>
    <w:pitch w:val="default"/>
    <w:sig w:usb0="00000001" w:usb1="080E0000" w:usb2="00000000" w:usb3="00000000" w:csb0="00040000" w:csb1="00000000"/>
    <w:embedRegular r:id="rId5" w:fontKey="{F6D01344-D474-49F4-9798-3D35F92583D3}"/>
  </w:font>
  <w:font w:name="WPSEMBED1">
    <w:panose1 w:val="02000000000000000000"/>
    <w:charset w:val="86"/>
    <w:family w:val="auto"/>
    <w:pitch w:val="default"/>
    <w:sig w:usb0="A00002BF" w:usb1="184F6CFA" w:usb2="00000012"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2C462E"/>
    <w:multiLevelType w:val="singleLevel"/>
    <w:tmpl w:val="042C462E"/>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929"/>
    <w:rsid w:val="000D2A48"/>
    <w:rsid w:val="003E78D2"/>
    <w:rsid w:val="004F50B9"/>
    <w:rsid w:val="00673137"/>
    <w:rsid w:val="006844A7"/>
    <w:rsid w:val="00827872"/>
    <w:rsid w:val="009D5C67"/>
    <w:rsid w:val="00A05DF5"/>
    <w:rsid w:val="00E207AC"/>
    <w:rsid w:val="00E27929"/>
    <w:rsid w:val="00EB3DBE"/>
    <w:rsid w:val="01AA7D1B"/>
    <w:rsid w:val="06265752"/>
    <w:rsid w:val="07603356"/>
    <w:rsid w:val="09BC683E"/>
    <w:rsid w:val="0B560C7C"/>
    <w:rsid w:val="0E2851DB"/>
    <w:rsid w:val="10606175"/>
    <w:rsid w:val="113E5D8A"/>
    <w:rsid w:val="14522278"/>
    <w:rsid w:val="1A1A55E6"/>
    <w:rsid w:val="1BF65BDF"/>
    <w:rsid w:val="219F2875"/>
    <w:rsid w:val="21DE339D"/>
    <w:rsid w:val="26630315"/>
    <w:rsid w:val="27EF1BCF"/>
    <w:rsid w:val="290556B4"/>
    <w:rsid w:val="2A263B34"/>
    <w:rsid w:val="2D3622E0"/>
    <w:rsid w:val="2E6903A6"/>
    <w:rsid w:val="2FC55B9D"/>
    <w:rsid w:val="31464ABB"/>
    <w:rsid w:val="3B7C7EE6"/>
    <w:rsid w:val="3E460E59"/>
    <w:rsid w:val="42DA1507"/>
    <w:rsid w:val="44A14C7E"/>
    <w:rsid w:val="45A1630C"/>
    <w:rsid w:val="48CF1A93"/>
    <w:rsid w:val="4FE44B1C"/>
    <w:rsid w:val="50CD4459"/>
    <w:rsid w:val="53B63538"/>
    <w:rsid w:val="56480069"/>
    <w:rsid w:val="56D939D0"/>
    <w:rsid w:val="596D67DA"/>
    <w:rsid w:val="5C58551F"/>
    <w:rsid w:val="5F926458"/>
    <w:rsid w:val="5FF01080"/>
    <w:rsid w:val="60940AF0"/>
    <w:rsid w:val="654779FF"/>
    <w:rsid w:val="684478A1"/>
    <w:rsid w:val="6EBE56B6"/>
    <w:rsid w:val="709A29CD"/>
    <w:rsid w:val="7DCB5640"/>
    <w:rsid w:val="7E2B2B96"/>
    <w:rsid w:val="7EF10A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qFormat/>
    <w:uiPriority w:val="0"/>
    <w:rPr>
      <w:sz w:val="18"/>
      <w:szCs w:val="18"/>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批注框文本 字符"/>
    <w:basedOn w:val="7"/>
    <w:link w:val="2"/>
    <w:qFormat/>
    <w:uiPriority w:val="0"/>
    <w:rPr>
      <w:kern w:val="2"/>
      <w:sz w:val="18"/>
      <w:szCs w:val="18"/>
    </w:rPr>
  </w:style>
  <w:style w:type="character" w:customStyle="1" w:styleId="9">
    <w:name w:val="页眉 字符"/>
    <w:basedOn w:val="7"/>
    <w:link w:val="4"/>
    <w:qFormat/>
    <w:uiPriority w:val="0"/>
    <w:rPr>
      <w:kern w:val="2"/>
      <w:sz w:val="18"/>
      <w:szCs w:val="18"/>
    </w:rPr>
  </w:style>
  <w:style w:type="character" w:customStyle="1" w:styleId="10">
    <w:name w:val="页脚 字符"/>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8A1D6-C78B-42D5-B0A7-AF4F147689E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2615</Words>
  <Characters>2929</Characters>
  <Lines>12</Lines>
  <Paragraphs>3</Paragraphs>
  <TotalTime>6</TotalTime>
  <ScaleCrop>false</ScaleCrop>
  <LinksUpToDate>false</LinksUpToDate>
  <CharactersWithSpaces>2988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2025-05-27T09:35:00Z</dcterms:created>
  <dc:creator>lxn</dc:creator>
  <cp:lastModifiedBy>幽幽我心</cp:lastModifiedBy>
  <dcterms:modified xsi:type="dcterms:W3CDTF">2026-05-27T09:41:53Z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eyJoZGlkIjoiYTAxM2M4YWQ3M2Q1NWE3YzUxY2RiYWUxMmJjNDhkZDIiLCJ1c2VySWQiOiIyNzk0MDc1NjgifQ==</vt:lpwstr>
  </property>
  <property fmtid="{D5CDD505-2E9C-101B-9397-08002B2CF9AE}" pid="4" name="ICV">
    <vt:lpwstr>F02FCB7C52AB43F0A8C75CF3E7D73DD4_13</vt:lpwstr>
  </property>
</Properties>
</file>